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49A" w:rsidRDefault="005E6C8F">
      <w:pPr>
        <w:overflowPunct w:val="0"/>
        <w:jc w:val="center"/>
        <w:rPr>
          <w:rFonts w:ascii="標楷體" w:eastAsia="標楷體" w:hAnsi="標楷體"/>
          <w:b/>
          <w:sz w:val="32"/>
          <w:szCs w:val="32"/>
        </w:rPr>
      </w:pPr>
      <w:r>
        <w:rPr>
          <w:rFonts w:ascii="標楷體" w:eastAsia="標楷體" w:hAnsi="標楷體"/>
          <w:b/>
          <w:sz w:val="32"/>
          <w:szCs w:val="32"/>
        </w:rPr>
        <w:t>兩公約第四次國家報告國際審查會議與國內外民間團體對話場次發言單</w:t>
      </w:r>
    </w:p>
    <w:p w:rsidR="0083549A" w:rsidRDefault="005E6C8F">
      <w:pPr>
        <w:pStyle w:val="Default"/>
        <w:snapToGrid w:val="0"/>
        <w:jc w:val="center"/>
        <w:rPr>
          <w:rFonts w:ascii="標楷體" w:eastAsia="標楷體" w:hAnsi="標楷體"/>
          <w:b/>
          <w:bCs/>
          <w:sz w:val="32"/>
          <w:szCs w:val="32"/>
        </w:rPr>
      </w:pPr>
      <w:r>
        <w:rPr>
          <w:rFonts w:ascii="標楷體" w:eastAsia="標楷體" w:hAnsi="標楷體"/>
          <w:b/>
          <w:bCs/>
          <w:sz w:val="32"/>
          <w:szCs w:val="32"/>
        </w:rPr>
        <w:t>民間團體名稱(請附上中、英文)：</w:t>
      </w:r>
    </w:p>
    <w:p w:rsidR="0083549A" w:rsidRPr="00D14813" w:rsidRDefault="005E6C8F">
      <w:pPr>
        <w:pStyle w:val="Default"/>
        <w:snapToGrid w:val="0"/>
        <w:jc w:val="center"/>
        <w:rPr>
          <w:rFonts w:ascii="標楷體" w:eastAsia="標楷體" w:hAnsi="標楷體"/>
          <w:b/>
          <w:bCs/>
          <w:sz w:val="32"/>
          <w:szCs w:val="32"/>
        </w:rPr>
      </w:pPr>
      <w:r w:rsidRPr="00D14813">
        <w:rPr>
          <w:rFonts w:ascii="標楷體" w:eastAsia="標楷體" w:hAnsi="標楷體"/>
          <w:b/>
          <w:bCs/>
          <w:sz w:val="32"/>
          <w:szCs w:val="32"/>
        </w:rPr>
        <w:t>台灣性別人權維護促進協會</w:t>
      </w:r>
      <w:r w:rsidR="00D14813">
        <w:rPr>
          <w:rFonts w:ascii="標楷體" w:eastAsia="標楷體" w:hAnsi="標楷體"/>
          <w:b/>
          <w:bCs/>
          <w:sz w:val="32"/>
          <w:szCs w:val="32"/>
        </w:rPr>
        <w:t xml:space="preserve">  </w:t>
      </w:r>
      <w:r w:rsidR="00D14813" w:rsidRPr="00D14813">
        <w:rPr>
          <w:rFonts w:ascii="標楷體" w:eastAsia="標楷體" w:hAnsi="標楷體"/>
          <w:b/>
          <w:sz w:val="32"/>
          <w:szCs w:val="32"/>
          <w:highlight w:val="yellow"/>
        </w:rPr>
        <w:t>(</w:t>
      </w:r>
      <w:r w:rsidR="00D14813" w:rsidRPr="00D14813">
        <w:rPr>
          <w:rFonts w:ascii="標楷體" w:eastAsia="標楷體" w:hAnsi="標楷體"/>
          <w:b/>
          <w:bCs/>
          <w:sz w:val="32"/>
          <w:szCs w:val="32"/>
          <w:highlight w:val="yellow"/>
        </w:rPr>
        <w:t>2026/5/11修正版)</w:t>
      </w:r>
    </w:p>
    <w:p w:rsidR="0083549A" w:rsidRDefault="005E6C8F">
      <w:pPr>
        <w:pStyle w:val="Default"/>
        <w:snapToGrid w:val="0"/>
      </w:pPr>
      <w:r>
        <w:rPr>
          <w:b/>
          <w:bCs/>
          <w:sz w:val="32"/>
          <w:szCs w:val="32"/>
        </w:rPr>
        <w:t>Taiwan Association of Gender/Sexuality Rights Protection</w:t>
      </w:r>
    </w:p>
    <w:tbl>
      <w:tblPr>
        <w:tblW w:w="9400" w:type="dxa"/>
        <w:jc w:val="center"/>
        <w:tblCellMar>
          <w:left w:w="10" w:type="dxa"/>
          <w:right w:w="10" w:type="dxa"/>
        </w:tblCellMar>
        <w:tblLook w:val="04A0"/>
      </w:tblPr>
      <w:tblGrid>
        <w:gridCol w:w="3436"/>
        <w:gridCol w:w="2982"/>
        <w:gridCol w:w="2982"/>
      </w:tblGrid>
      <w:tr w:rsidR="0083549A" w:rsidTr="00394E94">
        <w:trPr>
          <w:trHeight w:val="541"/>
          <w:jc w:val="center"/>
        </w:trPr>
        <w:tc>
          <w:tcPr>
            <w:tcW w:w="9400" w:type="dxa"/>
            <w:gridSpan w:val="3"/>
            <w:tcBorders>
              <w:top w:val="single" w:sz="12" w:space="0" w:color="000000"/>
              <w:left w:val="single" w:sz="12" w:space="0" w:color="000000"/>
              <w:right w:val="single" w:sz="12" w:space="0" w:color="000000"/>
            </w:tcBorders>
            <w:tcMar>
              <w:top w:w="0" w:type="dxa"/>
              <w:left w:w="108" w:type="dxa"/>
              <w:bottom w:w="0" w:type="dxa"/>
              <w:right w:w="108" w:type="dxa"/>
            </w:tcMar>
            <w:vAlign w:val="center"/>
          </w:tcPr>
          <w:p w:rsidR="0083549A" w:rsidRDefault="005E6C8F">
            <w:pPr>
              <w:overflowPunct w:val="0"/>
              <w:spacing w:line="360" w:lineRule="exact"/>
              <w:jc w:val="both"/>
            </w:pPr>
            <w:r>
              <w:rPr>
                <w:rFonts w:ascii="標楷體" w:eastAsia="標楷體" w:hAnsi="標楷體"/>
                <w:b/>
                <w:sz w:val="28"/>
                <w:szCs w:val="28"/>
              </w:rPr>
              <w:t>場次</w:t>
            </w:r>
            <w:r>
              <w:rPr>
                <w:rFonts w:ascii="標楷體" w:eastAsia="標楷體" w:hAnsi="標楷體"/>
                <w:b/>
                <w:bCs/>
                <w:sz w:val="28"/>
                <w:szCs w:val="28"/>
              </w:rPr>
              <w:t>(每一發言</w:t>
            </w:r>
            <w:proofErr w:type="gramStart"/>
            <w:r>
              <w:rPr>
                <w:rFonts w:ascii="標楷體" w:eastAsia="標楷體" w:hAnsi="標楷體"/>
                <w:b/>
                <w:bCs/>
                <w:sz w:val="28"/>
                <w:szCs w:val="28"/>
              </w:rPr>
              <w:t>單限填</w:t>
            </w:r>
            <w:proofErr w:type="gramEnd"/>
            <w:r>
              <w:rPr>
                <w:rFonts w:ascii="標楷體" w:eastAsia="標楷體" w:hAnsi="標楷體"/>
                <w:b/>
                <w:bCs/>
                <w:sz w:val="28"/>
                <w:szCs w:val="28"/>
              </w:rPr>
              <w:t>一場次)</w:t>
            </w:r>
            <w:r>
              <w:rPr>
                <w:rFonts w:ascii="標楷體" w:eastAsia="標楷體" w:hAnsi="標楷體"/>
                <w:sz w:val="28"/>
                <w:szCs w:val="28"/>
              </w:rPr>
              <w:t>：</w:t>
            </w:r>
          </w:p>
        </w:tc>
      </w:tr>
      <w:tr w:rsidR="0083549A" w:rsidTr="00394E94">
        <w:trPr>
          <w:trHeight w:val="541"/>
          <w:jc w:val="center"/>
        </w:trPr>
        <w:tc>
          <w:tcPr>
            <w:tcW w:w="3302" w:type="dxa"/>
            <w:tcBorders>
              <w:left w:val="single" w:sz="12" w:space="0" w:color="000000"/>
              <w:bottom w:val="single" w:sz="12" w:space="0" w:color="000000"/>
            </w:tcBorders>
            <w:tcMar>
              <w:top w:w="0" w:type="dxa"/>
              <w:left w:w="108" w:type="dxa"/>
              <w:bottom w:w="0" w:type="dxa"/>
              <w:right w:w="108" w:type="dxa"/>
            </w:tcMar>
          </w:tcPr>
          <w:p w:rsidR="0083549A" w:rsidRDefault="005E6C8F">
            <w:pPr>
              <w:overflowPunct w:val="0"/>
              <w:spacing w:line="360" w:lineRule="exact"/>
              <w:ind w:left="314" w:hanging="314"/>
              <w:jc w:val="both"/>
            </w:pPr>
            <w:r>
              <w:rPr>
                <w:rFonts w:ascii="標楷體" w:eastAsia="標楷體" w:hAnsi="標楷體"/>
                <w:sz w:val="28"/>
                <w:szCs w:val="28"/>
                <w:shd w:val="clear" w:color="auto" w:fill="000000"/>
              </w:rPr>
              <w:t>□</w:t>
            </w:r>
            <w:r>
              <w:rPr>
                <w:rFonts w:ascii="標楷體" w:eastAsia="標楷體" w:hAnsi="標楷體"/>
                <w:sz w:val="28"/>
                <w:szCs w:val="28"/>
              </w:rPr>
              <w:t>兩委員會與立法院、監察院國家人權委員會及非政府組織會議</w:t>
            </w:r>
          </w:p>
        </w:tc>
        <w:tc>
          <w:tcPr>
            <w:tcW w:w="3049" w:type="dxa"/>
            <w:tcBorders>
              <w:bottom w:val="single" w:sz="12" w:space="0" w:color="000000"/>
            </w:tcBorders>
            <w:tcMar>
              <w:top w:w="0" w:type="dxa"/>
              <w:left w:w="108" w:type="dxa"/>
              <w:bottom w:w="0" w:type="dxa"/>
              <w:right w:w="108" w:type="dxa"/>
            </w:tcMar>
          </w:tcPr>
          <w:p w:rsidR="0083549A" w:rsidRDefault="005E6C8F">
            <w:pPr>
              <w:overflowPunct w:val="0"/>
              <w:spacing w:line="360" w:lineRule="exact"/>
              <w:ind w:left="314" w:hanging="314"/>
              <w:jc w:val="both"/>
              <w:rPr>
                <w:rFonts w:ascii="標楷體" w:eastAsia="標楷體" w:hAnsi="標楷體"/>
                <w:sz w:val="28"/>
                <w:szCs w:val="28"/>
              </w:rPr>
            </w:pPr>
            <w:r>
              <w:rPr>
                <w:rFonts w:ascii="標楷體" w:eastAsia="標楷體" w:hAnsi="標楷體"/>
                <w:sz w:val="28"/>
                <w:szCs w:val="28"/>
              </w:rPr>
              <w:t>□共同核心第1場次</w:t>
            </w:r>
          </w:p>
          <w:p w:rsidR="0083549A" w:rsidRDefault="005E6C8F">
            <w:pPr>
              <w:overflowPunct w:val="0"/>
              <w:spacing w:line="360" w:lineRule="exact"/>
              <w:jc w:val="both"/>
              <w:rPr>
                <w:rFonts w:ascii="標楷體" w:eastAsia="標楷體" w:hAnsi="標楷體"/>
                <w:sz w:val="28"/>
                <w:szCs w:val="28"/>
              </w:rPr>
            </w:pPr>
            <w:r>
              <w:rPr>
                <w:rFonts w:ascii="標楷體" w:eastAsia="標楷體" w:hAnsi="標楷體"/>
                <w:sz w:val="28"/>
                <w:szCs w:val="28"/>
              </w:rPr>
              <w:t>□公政公約第2場次</w:t>
            </w:r>
          </w:p>
          <w:p w:rsidR="0083549A" w:rsidRDefault="005E6C8F">
            <w:pPr>
              <w:overflowPunct w:val="0"/>
              <w:spacing w:line="360" w:lineRule="exact"/>
              <w:jc w:val="both"/>
              <w:rPr>
                <w:rFonts w:ascii="標楷體" w:eastAsia="標楷體" w:hAnsi="標楷體"/>
                <w:sz w:val="28"/>
                <w:szCs w:val="28"/>
              </w:rPr>
            </w:pPr>
            <w:r>
              <w:rPr>
                <w:rFonts w:ascii="標楷體" w:eastAsia="標楷體" w:hAnsi="標楷體"/>
                <w:sz w:val="28"/>
                <w:szCs w:val="28"/>
              </w:rPr>
              <w:t>□公政公約第3場次</w:t>
            </w:r>
          </w:p>
          <w:p w:rsidR="0083549A" w:rsidRDefault="005E6C8F">
            <w:pPr>
              <w:overflowPunct w:val="0"/>
              <w:spacing w:line="360" w:lineRule="exact"/>
              <w:jc w:val="both"/>
              <w:rPr>
                <w:rFonts w:ascii="標楷體" w:eastAsia="標楷體" w:hAnsi="標楷體"/>
                <w:sz w:val="28"/>
                <w:szCs w:val="28"/>
              </w:rPr>
            </w:pPr>
            <w:r>
              <w:rPr>
                <w:rFonts w:ascii="標楷體" w:eastAsia="標楷體" w:hAnsi="標楷體"/>
                <w:sz w:val="28"/>
                <w:szCs w:val="28"/>
              </w:rPr>
              <w:t>□公政公約第4場次</w:t>
            </w:r>
          </w:p>
          <w:p w:rsidR="0083549A" w:rsidRDefault="005E6C8F">
            <w:pPr>
              <w:overflowPunct w:val="0"/>
              <w:spacing w:line="360" w:lineRule="exact"/>
              <w:jc w:val="both"/>
              <w:rPr>
                <w:rFonts w:ascii="標楷體" w:eastAsia="標楷體" w:hAnsi="標楷體"/>
                <w:sz w:val="28"/>
                <w:szCs w:val="28"/>
              </w:rPr>
            </w:pPr>
            <w:r>
              <w:rPr>
                <w:rFonts w:ascii="標楷體" w:eastAsia="標楷體" w:hAnsi="標楷體"/>
                <w:sz w:val="28"/>
                <w:szCs w:val="28"/>
              </w:rPr>
              <w:t>□公政公約第5場次</w:t>
            </w:r>
          </w:p>
        </w:tc>
        <w:tc>
          <w:tcPr>
            <w:tcW w:w="3049" w:type="dxa"/>
            <w:tcBorders>
              <w:bottom w:val="single" w:sz="12" w:space="0" w:color="000000"/>
              <w:right w:val="single" w:sz="12" w:space="0" w:color="000000"/>
            </w:tcBorders>
            <w:tcMar>
              <w:top w:w="0" w:type="dxa"/>
              <w:left w:w="108" w:type="dxa"/>
              <w:bottom w:w="0" w:type="dxa"/>
              <w:right w:w="108" w:type="dxa"/>
            </w:tcMar>
          </w:tcPr>
          <w:p w:rsidR="0083549A" w:rsidRDefault="005E6C8F">
            <w:pPr>
              <w:overflowPunct w:val="0"/>
              <w:spacing w:line="360" w:lineRule="exact"/>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經社文公約</w:t>
            </w:r>
            <w:proofErr w:type="gramEnd"/>
            <w:r>
              <w:rPr>
                <w:rFonts w:ascii="標楷體" w:eastAsia="標楷體" w:hAnsi="標楷體"/>
                <w:sz w:val="28"/>
                <w:szCs w:val="28"/>
              </w:rPr>
              <w:t>第2場次</w:t>
            </w:r>
          </w:p>
          <w:p w:rsidR="0083549A" w:rsidRDefault="005E6C8F">
            <w:pPr>
              <w:overflowPunct w:val="0"/>
              <w:spacing w:line="360" w:lineRule="exact"/>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經社文公約</w:t>
            </w:r>
            <w:proofErr w:type="gramEnd"/>
            <w:r>
              <w:rPr>
                <w:rFonts w:ascii="標楷體" w:eastAsia="標楷體" w:hAnsi="標楷體"/>
                <w:sz w:val="28"/>
                <w:szCs w:val="28"/>
              </w:rPr>
              <w:t>第3場次</w:t>
            </w:r>
          </w:p>
          <w:p w:rsidR="0083549A" w:rsidRDefault="005E6C8F">
            <w:pPr>
              <w:overflowPunct w:val="0"/>
              <w:spacing w:line="360" w:lineRule="exact"/>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經社文公約</w:t>
            </w:r>
            <w:proofErr w:type="gramEnd"/>
            <w:r>
              <w:rPr>
                <w:rFonts w:ascii="標楷體" w:eastAsia="標楷體" w:hAnsi="標楷體"/>
                <w:sz w:val="28"/>
                <w:szCs w:val="28"/>
              </w:rPr>
              <w:t>第4場次</w:t>
            </w:r>
          </w:p>
          <w:p w:rsidR="0083549A" w:rsidRDefault="005E6C8F">
            <w:pPr>
              <w:overflowPunct w:val="0"/>
              <w:spacing w:line="360" w:lineRule="exact"/>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經社文公約</w:t>
            </w:r>
            <w:proofErr w:type="gramEnd"/>
            <w:r>
              <w:rPr>
                <w:rFonts w:ascii="標楷體" w:eastAsia="標楷體" w:hAnsi="標楷體"/>
                <w:sz w:val="28"/>
                <w:szCs w:val="28"/>
              </w:rPr>
              <w:t>第5場次</w:t>
            </w:r>
          </w:p>
        </w:tc>
      </w:tr>
      <w:tr w:rsidR="0083549A" w:rsidTr="00394E94">
        <w:trPr>
          <w:jc w:val="center"/>
        </w:trPr>
        <w:tc>
          <w:tcPr>
            <w:tcW w:w="9400" w:type="dxa"/>
            <w:gridSpan w:val="3"/>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tbl>
            <w:tblPr>
              <w:tblW w:w="9400" w:type="dxa"/>
              <w:jc w:val="center"/>
              <w:tblCellMar>
                <w:left w:w="10" w:type="dxa"/>
                <w:right w:w="10" w:type="dxa"/>
              </w:tblCellMar>
              <w:tblLook w:val="0000"/>
            </w:tblPr>
            <w:tblGrid>
              <w:gridCol w:w="9400"/>
            </w:tblGrid>
            <w:tr w:rsidR="00311586" w:rsidRPr="00C92A2F" w:rsidTr="00361A14">
              <w:trPr>
                <w:jc w:val="center"/>
              </w:trPr>
              <w:tc>
                <w:tcPr>
                  <w:tcW w:w="9400"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311586" w:rsidRDefault="00311586" w:rsidP="00311586">
                  <w:pPr>
                    <w:pStyle w:val="a6"/>
                    <w:numPr>
                      <w:ilvl w:val="0"/>
                      <w:numId w:val="10"/>
                    </w:numPr>
                    <w:overflowPunct w:val="0"/>
                    <w:spacing w:line="360" w:lineRule="exact"/>
                    <w:jc w:val="both"/>
                    <w:rPr>
                      <w:rFonts w:ascii="標楷體" w:eastAsia="標楷體" w:hAnsi="標楷體"/>
                      <w:b/>
                      <w:bCs/>
                      <w:sz w:val="28"/>
                      <w:szCs w:val="28"/>
                    </w:rPr>
                  </w:pPr>
                  <w:r w:rsidRPr="00DD4E94">
                    <w:rPr>
                      <w:rFonts w:ascii="標楷體" w:eastAsia="標楷體" w:hAnsi="標楷體"/>
                      <w:b/>
                      <w:bCs/>
                      <w:sz w:val="28"/>
                      <w:szCs w:val="28"/>
                    </w:rPr>
                    <w:t>中、英文摘要(約300字)</w:t>
                  </w:r>
                </w:p>
                <w:p w:rsidR="00311586" w:rsidRPr="00B7333B" w:rsidRDefault="00311586" w:rsidP="00311586">
                  <w:pPr>
                    <w:rPr>
                      <w:rFonts w:ascii="標楷體" w:eastAsia="標楷體" w:hAnsi="標楷體"/>
                    </w:rPr>
                  </w:pPr>
                  <w:r>
                    <w:rPr>
                      <w:rFonts w:ascii="標楷體" w:eastAsia="標楷體" w:hAnsi="標楷體" w:hint="eastAsia"/>
                    </w:rPr>
                    <w:t xml:space="preserve">    </w:t>
                  </w:r>
                  <w:r w:rsidRPr="00B7333B">
                    <w:rPr>
                      <w:rFonts w:ascii="標楷體" w:eastAsia="標楷體" w:hAnsi="標楷體" w:hint="eastAsia"/>
                    </w:rPr>
                    <w:t>針對台灣政府</w:t>
                  </w:r>
                  <w:proofErr w:type="gramStart"/>
                  <w:r w:rsidRPr="00B7333B">
                    <w:rPr>
                      <w:rFonts w:ascii="標楷體" w:eastAsia="標楷體" w:hAnsi="標楷體" w:hint="eastAsia"/>
                    </w:rPr>
                    <w:t>研</w:t>
                  </w:r>
                  <w:proofErr w:type="gramEnd"/>
                  <w:r w:rsidRPr="00B7333B">
                    <w:rPr>
                      <w:rFonts w:ascii="標楷體" w:eastAsia="標楷體" w:hAnsi="標楷體" w:hint="eastAsia"/>
                    </w:rPr>
                    <w:t>擬擴大《人工生殖法》適用對象（包括開放單身女性、女同志伴侶及代理孕母合法化）的政策方向，我們認為，這項修法不僅嚴重低估了人工生殖對婦女與兒童健康的實質危害，更違反了兩公約中對於「健康權」與</w:t>
                  </w:r>
                  <w:r w:rsidRPr="00B7333B">
                    <w:rPr>
                      <w:rFonts w:ascii="標楷體" w:eastAsia="標楷體" w:hAnsi="標楷體"/>
                    </w:rPr>
                    <w:t>「兒童</w:t>
                  </w:r>
                  <w:r w:rsidRPr="00B7333B">
                    <w:rPr>
                      <w:rFonts w:ascii="標楷體" w:eastAsia="標楷體" w:hAnsi="標楷體" w:hint="eastAsia"/>
                    </w:rPr>
                    <w:t>得</w:t>
                  </w:r>
                  <w:r w:rsidRPr="00B7333B">
                    <w:rPr>
                      <w:rFonts w:ascii="標楷體" w:eastAsia="標楷體" w:hAnsi="標楷體"/>
                    </w:rPr>
                    <w:t>受特別保護的權利」</w:t>
                  </w:r>
                  <w:r w:rsidRPr="00B7333B">
                    <w:rPr>
                      <w:rFonts w:ascii="標楷體" w:eastAsia="標楷體" w:hAnsi="標楷體" w:hint="eastAsia"/>
                    </w:rPr>
                    <w:t>以及CRC「兒童最佳利益」的保障。</w:t>
                  </w:r>
                </w:p>
                <w:p w:rsidR="00311586" w:rsidRPr="00B7333B" w:rsidRDefault="00311586" w:rsidP="00311586">
                  <w:pPr>
                    <w:rPr>
                      <w:rFonts w:ascii="標楷體" w:eastAsia="標楷體" w:hAnsi="標楷體"/>
                      <w:b/>
                      <w:bCs/>
                    </w:rPr>
                  </w:pPr>
                  <w:proofErr w:type="gramStart"/>
                  <w:r w:rsidRPr="00B7333B">
                    <w:rPr>
                      <w:rFonts w:ascii="標楷體" w:eastAsia="標楷體" w:hAnsi="標楷體" w:hint="eastAsia"/>
                      <w:b/>
                      <w:bCs/>
                    </w:rPr>
                    <w:t>一</w:t>
                  </w:r>
                  <w:proofErr w:type="gramEnd"/>
                  <w:r w:rsidRPr="00B7333B">
                    <w:rPr>
                      <w:rFonts w:ascii="標楷體" w:eastAsia="標楷體" w:hAnsi="標楷體" w:hint="eastAsia"/>
                      <w:b/>
                      <w:bCs/>
                    </w:rPr>
                    <w:t>：人工生殖技術對婦女健康權的侵害與知情權不完整</w:t>
                  </w:r>
                </w:p>
                <w:p w:rsidR="00311586" w:rsidRPr="00B7333B" w:rsidRDefault="00311586" w:rsidP="00311586">
                  <w:pPr>
                    <w:rPr>
                      <w:rFonts w:ascii="標楷體" w:eastAsia="標楷體" w:hAnsi="標楷體"/>
                    </w:rPr>
                  </w:pPr>
                  <w:r w:rsidRPr="00B7333B">
                    <w:rPr>
                      <w:rFonts w:ascii="標楷體" w:eastAsia="標楷體" w:hAnsi="標楷體" w:hint="eastAsia"/>
                    </w:rPr>
                    <w:t xml:space="preserve">    多年</w:t>
                  </w:r>
                  <w:r>
                    <w:rPr>
                      <w:rFonts w:ascii="標楷體" w:eastAsia="標楷體" w:hAnsi="標楷體" w:hint="eastAsia"/>
                    </w:rPr>
                    <w:t>來</w:t>
                  </w:r>
                  <w:r w:rsidRPr="00B7333B">
                    <w:rPr>
                      <w:rFonts w:ascii="標楷體" w:eastAsia="標楷體" w:hAnsi="標楷體" w:hint="eastAsia"/>
                    </w:rPr>
                    <w:t>試管嬰兒（</w:t>
                  </w:r>
                  <w:r w:rsidRPr="00B7333B">
                    <w:rPr>
                      <w:rFonts w:ascii="標楷體" w:eastAsia="標楷體" w:hAnsi="標楷體"/>
                    </w:rPr>
                    <w:t>IVF</w:t>
                  </w:r>
                  <w:r w:rsidRPr="00B7333B">
                    <w:rPr>
                      <w:rFonts w:ascii="標楷體" w:eastAsia="標楷體" w:hAnsi="標楷體" w:hint="eastAsia"/>
                    </w:rPr>
                    <w:t>）</w:t>
                  </w:r>
                  <w:proofErr w:type="gramStart"/>
                  <w:r w:rsidRPr="00B7333B">
                    <w:rPr>
                      <w:rFonts w:ascii="標楷體" w:eastAsia="標楷體" w:hAnsi="標楷體" w:hint="eastAsia"/>
                    </w:rPr>
                    <w:t>活產率</w:t>
                  </w:r>
                  <w:proofErr w:type="gramEnd"/>
                  <w:r w:rsidRPr="00B7333B">
                    <w:rPr>
                      <w:rFonts w:ascii="標楷體" w:eastAsia="標楷體" w:hAnsi="標楷體" w:hint="eastAsia"/>
                    </w:rPr>
                    <w:t>其實低於</w:t>
                  </w:r>
                  <w:proofErr w:type="gramStart"/>
                  <w:r w:rsidRPr="00B7333B">
                    <w:rPr>
                      <w:rFonts w:ascii="標楷體" w:eastAsia="標楷體" w:hAnsi="標楷體"/>
                    </w:rPr>
                    <w:t>2</w:t>
                  </w:r>
                  <w:r w:rsidRPr="00B7333B">
                    <w:rPr>
                      <w:rFonts w:ascii="標楷體" w:eastAsia="標楷體" w:hAnsi="標楷體" w:hint="eastAsia"/>
                    </w:rPr>
                    <w:t>成</w:t>
                  </w:r>
                  <w:proofErr w:type="gramEnd"/>
                  <w:r w:rsidRPr="00B7333B">
                    <w:rPr>
                      <w:rFonts w:ascii="標楷體" w:eastAsia="標楷體" w:hAnsi="標楷體" w:hint="eastAsia"/>
                    </w:rPr>
                    <w:t>。為了這極低的成功率，婦女必須承受違反自然生理的大量藥物控制，刺激卵巢排卵與</w:t>
                  </w:r>
                  <w:proofErr w:type="gramStart"/>
                  <w:r w:rsidRPr="00B7333B">
                    <w:rPr>
                      <w:rFonts w:ascii="標楷體" w:eastAsia="標楷體" w:hAnsi="標楷體" w:hint="eastAsia"/>
                    </w:rPr>
                    <w:t>取卵常</w:t>
                  </w:r>
                  <w:r>
                    <w:rPr>
                      <w:rFonts w:ascii="標楷體" w:eastAsia="標楷體" w:hAnsi="標楷體" w:hint="eastAsia"/>
                    </w:rPr>
                    <w:t>有</w:t>
                  </w:r>
                  <w:proofErr w:type="gramEnd"/>
                  <w:r>
                    <w:rPr>
                      <w:rFonts w:ascii="標楷體" w:eastAsia="標楷體" w:hAnsi="標楷體" w:hint="eastAsia"/>
                    </w:rPr>
                    <w:t>副作用，甚至</w:t>
                  </w:r>
                  <w:r w:rsidRPr="00B7333B">
                    <w:rPr>
                      <w:rFonts w:ascii="標楷體" w:eastAsia="標楷體" w:hAnsi="標楷體" w:hint="eastAsia"/>
                    </w:rPr>
                    <w:t>導致嚴重</w:t>
                  </w:r>
                  <w:r>
                    <w:rPr>
                      <w:rFonts w:ascii="標楷體" w:eastAsia="標楷體" w:hAnsi="標楷體" w:hint="eastAsia"/>
                    </w:rPr>
                    <w:t>情況</w:t>
                  </w:r>
                  <w:r w:rsidRPr="00B7333B">
                    <w:rPr>
                      <w:rFonts w:ascii="標楷體" w:eastAsia="標楷體" w:hAnsi="標楷體" w:hint="eastAsia"/>
                    </w:rPr>
                    <w:t>如卵巢過度刺激症候群（OHSS）引起之腹水、胸腔積水與呼吸困難。研究更指出，</w:t>
                  </w:r>
                  <w:r w:rsidRPr="00B7333B">
                    <w:rPr>
                      <w:rFonts w:ascii="標楷體" w:eastAsia="標楷體" w:hAnsi="標楷體"/>
                    </w:rPr>
                    <w:t>IVF</w:t>
                  </w:r>
                  <w:r w:rsidRPr="00B7333B">
                    <w:rPr>
                      <w:rFonts w:ascii="標楷體" w:eastAsia="標楷體" w:hAnsi="標楷體" w:hint="eastAsia"/>
                    </w:rPr>
                    <w:t>懷孕婦女發生肺栓塞的風險比自然懷孕高出</w:t>
                  </w:r>
                  <w:r w:rsidRPr="00B7333B">
                    <w:rPr>
                      <w:rFonts w:ascii="標楷體" w:eastAsia="標楷體" w:hAnsi="標楷體"/>
                    </w:rPr>
                    <w:t>7</w:t>
                  </w:r>
                  <w:r w:rsidRPr="00B7333B">
                    <w:rPr>
                      <w:rFonts w:ascii="標楷體" w:eastAsia="標楷體" w:hAnsi="標楷體" w:hint="eastAsia"/>
                    </w:rPr>
                    <w:t>倍。長期甚至可能增加卵巢癌與甲狀腺癌的風險。台灣女性卵巢癌</w:t>
                  </w:r>
                  <w:proofErr w:type="gramStart"/>
                  <w:r w:rsidRPr="00B7333B">
                    <w:rPr>
                      <w:rFonts w:ascii="標楷體" w:eastAsia="標楷體" w:hAnsi="標楷體" w:hint="eastAsia"/>
                    </w:rPr>
                    <w:t>罹</w:t>
                  </w:r>
                  <w:proofErr w:type="gramEnd"/>
                  <w:r w:rsidRPr="00B7333B">
                    <w:rPr>
                      <w:rFonts w:ascii="標楷體" w:eastAsia="標楷體" w:hAnsi="標楷體" w:hint="eastAsia"/>
                    </w:rPr>
                    <w:t>患率在</w:t>
                  </w:r>
                  <w:r w:rsidRPr="00B7333B">
                    <w:rPr>
                      <w:rFonts w:ascii="標楷體" w:eastAsia="標楷體" w:hAnsi="標楷體"/>
                    </w:rPr>
                    <w:t>15</w:t>
                  </w:r>
                  <w:r w:rsidRPr="00B7333B">
                    <w:rPr>
                      <w:rFonts w:ascii="標楷體" w:eastAsia="標楷體" w:hAnsi="標楷體" w:hint="eastAsia"/>
                    </w:rPr>
                    <w:t>年間成長了</w:t>
                  </w:r>
                  <w:r w:rsidRPr="00B7333B">
                    <w:rPr>
                      <w:rFonts w:ascii="標楷體" w:eastAsia="標楷體" w:hAnsi="標楷體"/>
                    </w:rPr>
                    <w:t>2</w:t>
                  </w:r>
                  <w:r w:rsidRPr="00B7333B">
                    <w:rPr>
                      <w:rFonts w:ascii="標楷體" w:eastAsia="標楷體" w:hAnsi="標楷體" w:hint="eastAsia"/>
                    </w:rPr>
                    <w:t>倍，政府卻在缺乏本土長期追蹤研究的情況下，貿然擴大開放，這無異於將婦女</w:t>
                  </w:r>
                  <w:proofErr w:type="gramStart"/>
                  <w:r w:rsidRPr="00B7333B">
                    <w:rPr>
                      <w:rFonts w:ascii="標楷體" w:eastAsia="標楷體" w:hAnsi="標楷體" w:hint="eastAsia"/>
                    </w:rPr>
                    <w:t>健康置</w:t>
                  </w:r>
                  <w:proofErr w:type="gramEnd"/>
                  <w:r w:rsidRPr="00B7333B">
                    <w:rPr>
                      <w:rFonts w:ascii="標楷體" w:eastAsia="標楷體" w:hAnsi="標楷體" w:hint="eastAsia"/>
                    </w:rPr>
                    <w:t>於險境。同時，未能提供充分且透明的成功率與風險資訊，也違反了《公民與政治權利國際公約》（</w:t>
                  </w:r>
                  <w:r w:rsidRPr="00B7333B">
                    <w:rPr>
                      <w:rFonts w:ascii="標楷體" w:eastAsia="標楷體" w:hAnsi="標楷體"/>
                    </w:rPr>
                    <w:t>ICCPR</w:t>
                  </w:r>
                  <w:r w:rsidRPr="00B7333B">
                    <w:rPr>
                      <w:rFonts w:ascii="標楷體" w:eastAsia="標楷體" w:hAnsi="標楷體" w:hint="eastAsia"/>
                    </w:rPr>
                    <w:t>）第</w:t>
                  </w:r>
                  <w:r w:rsidRPr="00B7333B">
                    <w:rPr>
                      <w:rFonts w:ascii="標楷體" w:eastAsia="標楷體" w:hAnsi="標楷體"/>
                    </w:rPr>
                    <w:t>7</w:t>
                  </w:r>
                  <w:r w:rsidRPr="00B7333B">
                    <w:rPr>
                      <w:rFonts w:ascii="標楷體" w:eastAsia="標楷體" w:hAnsi="標楷體" w:hint="eastAsia"/>
                    </w:rPr>
                    <w:t>條中有關「知情同意」的精神。</w:t>
                  </w:r>
                </w:p>
                <w:p w:rsidR="00311586" w:rsidRPr="00B7333B" w:rsidRDefault="00311586" w:rsidP="00311586">
                  <w:pPr>
                    <w:rPr>
                      <w:rFonts w:ascii="標楷體" w:eastAsia="標楷體" w:hAnsi="標楷體"/>
                    </w:rPr>
                  </w:pPr>
                </w:p>
                <w:p w:rsidR="00311586" w:rsidRPr="00B7333B" w:rsidRDefault="00311586" w:rsidP="00311586">
                  <w:pPr>
                    <w:rPr>
                      <w:rFonts w:ascii="標楷體" w:eastAsia="標楷體" w:hAnsi="標楷體"/>
                      <w:b/>
                      <w:bCs/>
                    </w:rPr>
                  </w:pPr>
                  <w:r w:rsidRPr="00B7333B">
                    <w:rPr>
                      <w:rFonts w:ascii="標楷體" w:eastAsia="標楷體" w:hAnsi="標楷體" w:hint="eastAsia"/>
                      <w:b/>
                      <w:bCs/>
                    </w:rPr>
                    <w:t>二：對兒童生命權、健康權及「兒童最佳利益」</w:t>
                  </w:r>
                  <w:r>
                    <w:rPr>
                      <w:rFonts w:ascii="標楷體" w:eastAsia="標楷體" w:hAnsi="標楷體" w:hint="eastAsia"/>
                      <w:b/>
                      <w:bCs/>
                    </w:rPr>
                    <w:t>以及</w:t>
                  </w:r>
                  <w:r w:rsidRPr="00B7333B">
                    <w:rPr>
                      <w:rFonts w:ascii="標楷體" w:eastAsia="標楷體" w:hAnsi="標楷體" w:hint="eastAsia"/>
                    </w:rPr>
                    <w:t>《經濟社會文化權利國際公約》第10條《公民與政治權利國際公約》第</w:t>
                  </w:r>
                  <w:r w:rsidRPr="00B7333B">
                    <w:rPr>
                      <w:rFonts w:ascii="標楷體" w:eastAsia="標楷體" w:hAnsi="標楷體"/>
                    </w:rPr>
                    <w:t>24</w:t>
                  </w:r>
                  <w:r w:rsidRPr="00B7333B">
                    <w:rPr>
                      <w:rFonts w:ascii="標楷體" w:eastAsia="標楷體" w:hAnsi="標楷體" w:hint="eastAsia"/>
                    </w:rPr>
                    <w:t>條</w:t>
                  </w:r>
                  <w:r w:rsidRPr="000F0DB9">
                    <w:rPr>
                      <w:rFonts w:ascii="標楷體" w:eastAsia="標楷體" w:hAnsi="標楷體"/>
                      <w:b/>
                      <w:bCs/>
                    </w:rPr>
                    <w:t>「兒童</w:t>
                  </w:r>
                  <w:r w:rsidRPr="000F0DB9">
                    <w:rPr>
                      <w:rFonts w:ascii="標楷體" w:eastAsia="標楷體" w:hAnsi="標楷體" w:hint="eastAsia"/>
                      <w:b/>
                      <w:bCs/>
                    </w:rPr>
                    <w:t>得</w:t>
                  </w:r>
                  <w:r w:rsidRPr="000F0DB9">
                    <w:rPr>
                      <w:rFonts w:ascii="標楷體" w:eastAsia="標楷體" w:hAnsi="標楷體"/>
                      <w:b/>
                      <w:bCs/>
                    </w:rPr>
                    <w:t>受特別保護的權利」</w:t>
                  </w:r>
                  <w:r w:rsidRPr="000F0DB9">
                    <w:rPr>
                      <w:rFonts w:ascii="標楷體" w:eastAsia="標楷體" w:hAnsi="標楷體" w:hint="eastAsia"/>
                      <w:b/>
                      <w:bCs/>
                    </w:rPr>
                    <w:t>之危害</w:t>
                  </w:r>
                </w:p>
                <w:p w:rsidR="00311586" w:rsidRPr="00B7333B" w:rsidRDefault="00311586" w:rsidP="00311586">
                  <w:pPr>
                    <w:rPr>
                      <w:rFonts w:ascii="標楷體" w:eastAsia="標楷體" w:hAnsi="標楷體"/>
                    </w:rPr>
                  </w:pPr>
                  <w:r w:rsidRPr="00B7333B">
                    <w:rPr>
                      <w:rFonts w:ascii="標楷體" w:eastAsia="標楷體" w:hAnsi="標楷體" w:hint="eastAsia"/>
                    </w:rPr>
                    <w:t xml:space="preserve">    目前台灣試管嬰兒在新生兒中占比已高達</w:t>
                  </w:r>
                  <w:r w:rsidRPr="00B7333B">
                    <w:rPr>
                      <w:rFonts w:ascii="標楷體" w:eastAsia="標楷體" w:hAnsi="標楷體"/>
                    </w:rPr>
                    <w:t>6%</w:t>
                  </w:r>
                  <w:r w:rsidRPr="00B7333B">
                    <w:rPr>
                      <w:rFonts w:ascii="標楷體" w:eastAsia="標楷體" w:hAnsi="標楷體" w:hint="eastAsia"/>
                    </w:rPr>
                    <w:t xml:space="preserve"> (高於美、德，瑞典等國)。然而，醫學研究已證實，試管嬰兒面臨更高的早產、低體重、先天缺陷，導致</w:t>
                  </w:r>
                  <w:proofErr w:type="gramStart"/>
                  <w:r w:rsidRPr="00B7333B">
                    <w:rPr>
                      <w:rFonts w:ascii="標楷體" w:eastAsia="標楷體" w:hAnsi="標楷體" w:hint="eastAsia"/>
                    </w:rPr>
                    <w:t>整體圍產期</w:t>
                  </w:r>
                  <w:proofErr w:type="gramEnd"/>
                  <w:r w:rsidRPr="00B7333B">
                    <w:rPr>
                      <w:rFonts w:ascii="標楷體" w:eastAsia="標楷體" w:hAnsi="標楷體" w:hint="eastAsia"/>
                    </w:rPr>
                    <w:t>與嬰兒死亡風險增加。</w:t>
                  </w:r>
                  <w:proofErr w:type="gramStart"/>
                  <w:r w:rsidRPr="00B7333B">
                    <w:rPr>
                      <w:rFonts w:ascii="標楷體" w:eastAsia="標楷體" w:hAnsi="標楷體" w:hint="eastAsia"/>
                    </w:rPr>
                    <w:t>此外，</w:t>
                  </w:r>
                  <w:proofErr w:type="gramEnd"/>
                  <w:r w:rsidRPr="00B7333B">
                    <w:rPr>
                      <w:rFonts w:ascii="標楷體" w:eastAsia="標楷體" w:hAnsi="標楷體" w:hint="eastAsia"/>
                    </w:rPr>
                    <w:t>亦面臨較高機率的自閉症、智能不足與兒童癌症風險（台灣小兒科醫師研究已證實此關聯）。人工生殖技術的普及已實質</w:t>
                  </w:r>
                  <w:r>
                    <w:rPr>
                      <w:rFonts w:ascii="標楷體" w:eastAsia="標楷體" w:hAnsi="標楷體" w:hint="eastAsia"/>
                    </w:rPr>
                    <w:t>增加</w:t>
                  </w:r>
                  <w:r w:rsidRPr="00B7333B">
                    <w:rPr>
                      <w:rFonts w:ascii="標楷體" w:eastAsia="標楷體" w:hAnsi="標楷體" w:hint="eastAsia"/>
                    </w:rPr>
                    <w:t>了下一代整體的健康風險。《公民與政治權利國際公約》（ICCPR）第24條【兒童得受特別保護權】及聯合國《兒童權利公約》（CRC）： 兒童有權享受其年齡所需之保護。在所有關於兒童的決定中，「兒童最佳利益」（Best Interests of the Child）應作為首要考量。政府擴大開放人工生殖，顯然將成人的「生育願望」置於「兒童</w:t>
                  </w:r>
                  <w:r>
                    <w:rPr>
                      <w:rFonts w:ascii="標楷體" w:eastAsia="標楷體" w:hAnsi="標楷體" w:hint="eastAsia"/>
                    </w:rPr>
                    <w:t>的最佳利益</w:t>
                  </w:r>
                  <w:r w:rsidRPr="00B7333B">
                    <w:rPr>
                      <w:rFonts w:ascii="標楷體" w:eastAsia="標楷體" w:hAnsi="標楷體" w:hint="eastAsia"/>
                    </w:rPr>
                    <w:t>」之上。</w:t>
                  </w:r>
                </w:p>
                <w:p w:rsidR="00311586" w:rsidRPr="001E65DA" w:rsidRDefault="00311586" w:rsidP="00311586">
                  <w:pPr>
                    <w:rPr>
                      <w:rFonts w:ascii="標楷體" w:eastAsia="標楷體" w:hAnsi="標楷體"/>
                    </w:rPr>
                  </w:pPr>
                </w:p>
                <w:p w:rsidR="00311586" w:rsidRPr="00B7333B" w:rsidRDefault="00311586" w:rsidP="00311586">
                  <w:pPr>
                    <w:rPr>
                      <w:rFonts w:ascii="標楷體" w:eastAsia="標楷體" w:hAnsi="標楷體"/>
                      <w:b/>
                      <w:bCs/>
                    </w:rPr>
                  </w:pPr>
                  <w:proofErr w:type="gramStart"/>
                  <w:r w:rsidRPr="00B7333B">
                    <w:rPr>
                      <w:rFonts w:ascii="標楷體" w:eastAsia="標楷體" w:hAnsi="標楷體" w:hint="eastAsia"/>
                      <w:b/>
                      <w:bCs/>
                    </w:rPr>
                    <w:t>三</w:t>
                  </w:r>
                  <w:proofErr w:type="gramEnd"/>
                  <w:r w:rsidRPr="00B7333B">
                    <w:rPr>
                      <w:rFonts w:ascii="標楷體" w:eastAsia="標楷體" w:hAnsi="標楷體" w:hint="eastAsia"/>
                    </w:rPr>
                    <w:t>：</w:t>
                  </w:r>
                  <w:r w:rsidRPr="00B7333B">
                    <w:rPr>
                      <w:rFonts w:ascii="標楷體" w:eastAsia="標楷體" w:hAnsi="標楷體" w:hint="eastAsia"/>
                      <w:b/>
                      <w:bCs/>
                    </w:rPr>
                    <w:t>具體建議與訴求</w:t>
                  </w:r>
                </w:p>
                <w:p w:rsidR="00311586" w:rsidRPr="00B7333B" w:rsidRDefault="00311586" w:rsidP="00311586">
                  <w:pPr>
                    <w:spacing w:line="278" w:lineRule="auto"/>
                    <w:ind w:firstLineChars="200" w:firstLine="480"/>
                    <w:rPr>
                      <w:rFonts w:ascii="標楷體" w:eastAsia="標楷體" w:hAnsi="標楷體"/>
                    </w:rPr>
                  </w:pPr>
                  <w:r w:rsidRPr="00B7333B">
                    <w:rPr>
                      <w:rFonts w:ascii="標楷體" w:eastAsia="標楷體" w:hAnsi="標楷體"/>
                    </w:rPr>
                    <w:t>基於上述人權公約之精神，我們強烈促請國際審查委員建議台灣政府採取以下更嚴謹的政策與規範，防止人工生殖技術之濫用：</w:t>
                  </w:r>
                </w:p>
                <w:p w:rsidR="00311586" w:rsidRPr="00B7333B" w:rsidRDefault="00311586" w:rsidP="00311586">
                  <w:pPr>
                    <w:rPr>
                      <w:rFonts w:ascii="標楷體" w:eastAsia="標楷體" w:hAnsi="標楷體"/>
                    </w:rPr>
                  </w:pPr>
                  <w:r w:rsidRPr="00B7333B">
                    <w:rPr>
                      <w:rFonts w:ascii="標楷體" w:eastAsia="標楷體" w:hAnsi="標楷體"/>
                    </w:rPr>
                    <w:t xml:space="preserve">1. </w:t>
                  </w:r>
                  <w:r w:rsidRPr="00B7333B">
                    <w:rPr>
                      <w:rFonts w:ascii="標楷體" w:eastAsia="標楷體" w:hAnsi="標楷體" w:hint="eastAsia"/>
                    </w:rPr>
                    <w:t>限縮適用人群：</w:t>
                  </w:r>
                  <w:r w:rsidRPr="00B7333B">
                    <w:rPr>
                      <w:rFonts w:ascii="標楷體" w:eastAsia="標楷體" w:hAnsi="標楷體"/>
                    </w:rPr>
                    <w:t xml:space="preserve"> </w:t>
                  </w:r>
                  <w:r w:rsidRPr="00B7333B">
                    <w:rPr>
                      <w:rFonts w:ascii="標楷體" w:eastAsia="標楷體" w:hAnsi="標楷體" w:hint="eastAsia"/>
                    </w:rPr>
                    <w:t>堅持「不孕症治療優先」原則，確認無法以常規醫學手段治療者，始得進行人工生殖。</w:t>
                  </w:r>
                </w:p>
                <w:p w:rsidR="00311586" w:rsidRPr="00B7333B" w:rsidRDefault="00311586" w:rsidP="00311586">
                  <w:pPr>
                    <w:rPr>
                      <w:rFonts w:ascii="標楷體" w:eastAsia="標楷體" w:hAnsi="標楷體"/>
                    </w:rPr>
                  </w:pPr>
                  <w:r w:rsidRPr="00B7333B">
                    <w:rPr>
                      <w:rFonts w:ascii="標楷體" w:eastAsia="標楷體" w:hAnsi="標楷體"/>
                    </w:rPr>
                    <w:lastRenderedPageBreak/>
                    <w:t xml:space="preserve">2. </w:t>
                  </w:r>
                  <w:r w:rsidRPr="00B7333B">
                    <w:rPr>
                      <w:rFonts w:ascii="標楷體" w:eastAsia="標楷體" w:hAnsi="標楷體" w:hint="eastAsia"/>
                    </w:rPr>
                    <w:t>保障婦女知情權：</w:t>
                  </w:r>
                  <w:r>
                    <w:rPr>
                      <w:rFonts w:ascii="標楷體" w:eastAsia="標楷體" w:hAnsi="標楷體" w:hint="eastAsia"/>
                    </w:rPr>
                    <w:t>人工生殖診所</w:t>
                  </w:r>
                  <w:r w:rsidRPr="00B7333B">
                    <w:rPr>
                      <w:rFonts w:ascii="標楷體" w:eastAsia="標楷體" w:hAnsi="標楷體" w:hint="eastAsia"/>
                    </w:rPr>
                    <w:t>必須強制向患者揭露各項短期與長期健康風險</w:t>
                  </w:r>
                  <w:r>
                    <w:rPr>
                      <w:rFonts w:ascii="標楷體" w:eastAsia="標楷體" w:hAnsi="標楷體" w:hint="eastAsia"/>
                    </w:rPr>
                    <w:t>以及</w:t>
                  </w:r>
                  <w:r w:rsidRPr="00B7333B">
                    <w:rPr>
                      <w:rFonts w:ascii="標楷體" w:eastAsia="標楷體" w:hAnsi="標楷體" w:hint="eastAsia"/>
                    </w:rPr>
                    <w:t>真實成功率，並建立第三方諮詢與審查機制。</w:t>
                  </w:r>
                </w:p>
                <w:p w:rsidR="00311586" w:rsidRPr="00B7333B" w:rsidRDefault="00311586" w:rsidP="00311586">
                  <w:pPr>
                    <w:rPr>
                      <w:rFonts w:ascii="標楷體" w:eastAsia="標楷體" w:hAnsi="標楷體"/>
                    </w:rPr>
                  </w:pPr>
                  <w:r w:rsidRPr="00B7333B">
                    <w:rPr>
                      <w:rFonts w:ascii="標楷體" w:eastAsia="標楷體" w:hAnsi="標楷體"/>
                    </w:rPr>
                    <w:t xml:space="preserve">3. </w:t>
                  </w:r>
                  <w:r w:rsidRPr="00B7333B">
                    <w:rPr>
                      <w:rFonts w:ascii="標楷體" w:eastAsia="標楷體" w:hAnsi="標楷體" w:hint="eastAsia"/>
                    </w:rPr>
                    <w:t>取消精卵捐贈：停止非</w:t>
                  </w:r>
                  <w:proofErr w:type="gramStart"/>
                  <w:r w:rsidRPr="00B7333B">
                    <w:rPr>
                      <w:rFonts w:ascii="標楷體" w:eastAsia="標楷體" w:hAnsi="標楷體" w:hint="eastAsia"/>
                    </w:rPr>
                    <w:t>配偶間的捐</w:t>
                  </w:r>
                  <w:proofErr w:type="gramEnd"/>
                  <w:r w:rsidRPr="00B7333B">
                    <w:rPr>
                      <w:rFonts w:ascii="標楷體" w:eastAsia="標楷體" w:hAnsi="標楷體" w:hint="eastAsia"/>
                    </w:rPr>
                    <w:t>精、捐卵，維護兒童</w:t>
                  </w:r>
                  <w:proofErr w:type="gramStart"/>
                  <w:r w:rsidRPr="00B7333B">
                    <w:rPr>
                      <w:rFonts w:ascii="標楷體" w:eastAsia="標楷體" w:hAnsi="標楷體" w:hint="eastAsia"/>
                    </w:rPr>
                    <w:t>知其血源</w:t>
                  </w:r>
                  <w:proofErr w:type="gramEnd"/>
                  <w:r w:rsidRPr="00B7333B">
                    <w:rPr>
                      <w:rFonts w:ascii="標楷體" w:eastAsia="標楷體" w:hAnsi="標楷體" w:hint="eastAsia"/>
                    </w:rPr>
                    <w:t>的權利，避免人體組織 (精、卵) 被商品化。</w:t>
                  </w:r>
                </w:p>
                <w:p w:rsidR="00311586" w:rsidRPr="00B7333B" w:rsidRDefault="00311586" w:rsidP="00311586">
                  <w:pPr>
                    <w:rPr>
                      <w:rFonts w:ascii="標楷體" w:eastAsia="標楷體" w:hAnsi="標楷體"/>
                    </w:rPr>
                  </w:pPr>
                  <w:r w:rsidRPr="00B7333B">
                    <w:rPr>
                      <w:rFonts w:ascii="標楷體" w:eastAsia="標楷體" w:hAnsi="標楷體"/>
                    </w:rPr>
                    <w:t xml:space="preserve">4. </w:t>
                  </w:r>
                  <w:r w:rsidRPr="00B7333B">
                    <w:rPr>
                      <w:rFonts w:ascii="標楷體" w:eastAsia="標楷體" w:hAnsi="標楷體" w:hint="eastAsia"/>
                    </w:rPr>
                    <w:t>禁止商業宣傳：人工生殖屬高度侵害性醫療行為，政府應比照醫療法與藥事法，嚴格禁止診所以「凍卵保障未來」、「解決您的不孕問題」等商業包裝進行廣告宣傳，避免誤導大眾忽視醫療風險。</w:t>
                  </w:r>
                </w:p>
                <w:p w:rsidR="00311586" w:rsidRPr="00B13574" w:rsidRDefault="00311586" w:rsidP="00311586">
                  <w:pPr>
                    <w:pStyle w:val="a6"/>
                    <w:overflowPunct w:val="0"/>
                    <w:spacing w:line="360" w:lineRule="exact"/>
                    <w:ind w:left="720"/>
                    <w:jc w:val="both"/>
                    <w:rPr>
                      <w:rFonts w:ascii="標楷體" w:eastAsia="標楷體" w:hAnsi="標楷體"/>
                      <w:b/>
                      <w:bCs/>
                      <w:sz w:val="28"/>
                      <w:szCs w:val="28"/>
                    </w:rPr>
                  </w:pPr>
                </w:p>
                <w:p w:rsidR="00311586" w:rsidRDefault="00311586" w:rsidP="00311586">
                  <w:r>
                    <w:rPr>
                      <w:rFonts w:hint="eastAsia"/>
                    </w:rPr>
                    <w:t>R</w:t>
                  </w:r>
                  <w:r>
                    <w:t>egarding the Taiwan government’s policy direction to expand the scope of the A</w:t>
                  </w:r>
                  <w:r>
                    <w:rPr>
                      <w:rFonts w:hint="eastAsia"/>
                    </w:rPr>
                    <w:t>ssisted</w:t>
                  </w:r>
                  <w:r>
                    <w:t xml:space="preserve"> Reproduction Act</w:t>
                  </w:r>
                  <w:r>
                    <w:rPr>
                      <w:rFonts w:hint="eastAsia"/>
                    </w:rPr>
                    <w:t xml:space="preserve">, </w:t>
                  </w:r>
                  <w:r>
                    <w:t xml:space="preserve">this amendment not only severely underestimates the substantial harm </w:t>
                  </w:r>
                  <w:r>
                    <w:rPr>
                      <w:rFonts w:hint="eastAsia"/>
                    </w:rPr>
                    <w:t xml:space="preserve">that </w:t>
                  </w:r>
                  <w:r>
                    <w:t>a</w:t>
                  </w:r>
                  <w:r>
                    <w:rPr>
                      <w:rFonts w:hint="eastAsia"/>
                    </w:rPr>
                    <w:t>ssisted</w:t>
                  </w:r>
                  <w:r>
                    <w:t xml:space="preserve"> reproduction </w:t>
                  </w:r>
                  <w:r>
                    <w:rPr>
                      <w:rFonts w:hint="eastAsia"/>
                    </w:rPr>
                    <w:t xml:space="preserve">technology (ART) </w:t>
                  </w:r>
                  <w:r>
                    <w:t>poses to the health of women and children, but also violates the protections for the "Right to Health," the "Right of Children to Special Protection" under the Two Covenants, and the "Best Interests of the Child" under the CRC.</w:t>
                  </w:r>
                </w:p>
                <w:p w:rsidR="00311586" w:rsidRPr="00757E4F" w:rsidRDefault="00311586" w:rsidP="00311586">
                  <w:pPr>
                    <w:pStyle w:val="a6"/>
                    <w:overflowPunct w:val="0"/>
                    <w:spacing w:line="360" w:lineRule="exact"/>
                    <w:ind w:left="720"/>
                    <w:jc w:val="both"/>
                    <w:rPr>
                      <w:rFonts w:ascii="標楷體" w:eastAsia="標楷體" w:hAnsi="標楷體"/>
                      <w:b/>
                      <w:bCs/>
                      <w:sz w:val="28"/>
                      <w:szCs w:val="28"/>
                    </w:rPr>
                  </w:pPr>
                </w:p>
                <w:p w:rsidR="00311586" w:rsidRPr="00DE0D36" w:rsidRDefault="00311586" w:rsidP="00311586">
                  <w:pPr>
                    <w:rPr>
                      <w:b/>
                      <w:bCs/>
                      <w:color w:val="EE0000"/>
                    </w:rPr>
                  </w:pPr>
                  <w:r w:rsidRPr="00DE0D36">
                    <w:rPr>
                      <w:b/>
                      <w:bCs/>
                    </w:rPr>
                    <w:t>I. Infringement on Women’s Right to Health</w:t>
                  </w:r>
                </w:p>
                <w:p w:rsidR="00311586" w:rsidRDefault="00311586" w:rsidP="00311586">
                  <w:pPr>
                    <w:widowControl/>
                    <w:suppressAutoHyphens w:val="0"/>
                    <w:autoSpaceDN/>
                    <w:textAlignment w:val="auto"/>
                  </w:pPr>
                  <w:r>
                    <w:rPr>
                      <w:rFonts w:hint="eastAsia"/>
                    </w:rPr>
                    <w:t>The</w:t>
                  </w:r>
                  <w:r>
                    <w:t xml:space="preserve"> live birth rate of</w:t>
                  </w:r>
                  <w:r>
                    <w:rPr>
                      <w:rFonts w:hint="eastAsia"/>
                    </w:rPr>
                    <w:t xml:space="preserve"> </w:t>
                  </w:r>
                  <w:r>
                    <w:t>In Vitro Fertilization (IVF)</w:t>
                  </w:r>
                  <w:r>
                    <w:rPr>
                      <w:rFonts w:hint="eastAsia"/>
                    </w:rPr>
                    <w:t xml:space="preserve"> </w:t>
                  </w:r>
                  <w:r>
                    <w:t xml:space="preserve">has actually remained below 20% over the years. To pursue this success rate, women must undergo heavy medication to control their </w:t>
                  </w:r>
                  <w:r>
                    <w:rPr>
                      <w:rFonts w:hint="eastAsia"/>
                    </w:rPr>
                    <w:t xml:space="preserve">body against their </w:t>
                  </w:r>
                  <w:r>
                    <w:t xml:space="preserve">natural physiology. Stimulating the ovaries for retrieval </w:t>
                  </w:r>
                  <w:r>
                    <w:rPr>
                      <w:rFonts w:hint="eastAsia"/>
                    </w:rPr>
                    <w:t xml:space="preserve">of eggs </w:t>
                  </w:r>
                  <w:r>
                    <w:t xml:space="preserve">often </w:t>
                  </w:r>
                  <w:r>
                    <w:rPr>
                      <w:rFonts w:hint="eastAsia"/>
                    </w:rPr>
                    <w:t xml:space="preserve">cause </w:t>
                  </w:r>
                  <w:r>
                    <w:t xml:space="preserve">side effects, </w:t>
                  </w:r>
                  <w:r>
                    <w:rPr>
                      <w:rFonts w:hint="eastAsia"/>
                    </w:rPr>
                    <w:t xml:space="preserve">and may even </w:t>
                  </w:r>
                  <w:r>
                    <w:t>leads to Ovarian Hyperstimulation Syndrome (OHSS)</w:t>
                  </w:r>
                  <w:r>
                    <w:rPr>
                      <w:rFonts w:hint="eastAsia"/>
                    </w:rPr>
                    <w:t xml:space="preserve">. </w:t>
                  </w:r>
                  <w:r>
                    <w:t>Research ind</w:t>
                  </w:r>
                  <w:r>
                    <w:t>i</w:t>
                  </w:r>
                  <w:r>
                    <w:t>cates that the risk of</w:t>
                  </w:r>
                  <w:r>
                    <w:rPr>
                      <w:rFonts w:hint="eastAsia"/>
                    </w:rPr>
                    <w:t xml:space="preserve"> </w:t>
                  </w:r>
                  <w:r>
                    <w:t>pulmonary embolism</w:t>
                  </w:r>
                  <w:r>
                    <w:rPr>
                      <w:rFonts w:hint="eastAsia"/>
                    </w:rPr>
                    <w:t xml:space="preserve"> </w:t>
                  </w:r>
                  <w:r>
                    <w:t>in IVF pregnancies is seven times higher than in natural pregnancies. In the long term, it may even increase the risks of ovarian and thyroid ca</w:t>
                  </w:r>
                  <w:r>
                    <w:t>n</w:t>
                  </w:r>
                  <w:r>
                    <w:t>cers.</w:t>
                  </w:r>
                  <w:r>
                    <w:rPr>
                      <w:rFonts w:hint="eastAsia"/>
                    </w:rPr>
                    <w:t xml:space="preserve"> </w:t>
                  </w:r>
                  <w:r w:rsidRPr="00875C4C">
                    <w:t xml:space="preserve">The incidence of ovarian cancer among Taiwanese women has doubled over the past 15 years. Yet, </w:t>
                  </w:r>
                  <w:r>
                    <w:rPr>
                      <w:rFonts w:hint="eastAsia"/>
                    </w:rPr>
                    <w:t>there</w:t>
                  </w:r>
                  <w:r>
                    <w:t>’</w:t>
                  </w:r>
                  <w:r>
                    <w:rPr>
                      <w:rFonts w:hint="eastAsia"/>
                    </w:rPr>
                    <w:t>s no related local study. T</w:t>
                  </w:r>
                  <w:r w:rsidRPr="00875C4C">
                    <w:t xml:space="preserve">he failure to provide full and transparent information on success rates and risks </w:t>
                  </w:r>
                  <w:r>
                    <w:rPr>
                      <w:rFonts w:hint="eastAsia"/>
                    </w:rPr>
                    <w:t xml:space="preserve">of ART </w:t>
                  </w:r>
                  <w:r w:rsidRPr="00875C4C">
                    <w:t>also violates the spirit of “informed consent” under Article 7 of the</w:t>
                  </w:r>
                  <w:r>
                    <w:t xml:space="preserve"> ICCPR.</w:t>
                  </w:r>
                  <w:r>
                    <w:rPr>
                      <w:rFonts w:hint="eastAsia"/>
                    </w:rPr>
                    <w:t xml:space="preserve"> </w:t>
                  </w:r>
                </w:p>
                <w:p w:rsidR="00311586" w:rsidRDefault="00311586" w:rsidP="00311586">
                  <w:pPr>
                    <w:widowControl/>
                    <w:suppressAutoHyphens w:val="0"/>
                    <w:autoSpaceDN/>
                    <w:textAlignment w:val="auto"/>
                    <w:rPr>
                      <w:rFonts w:ascii="標楷體" w:eastAsia="標楷體" w:hAnsi="標楷體"/>
                    </w:rPr>
                  </w:pPr>
                </w:p>
                <w:p w:rsidR="00311586" w:rsidRDefault="00311586" w:rsidP="00311586">
                  <w:r w:rsidRPr="00DE0D36">
                    <w:rPr>
                      <w:b/>
                      <w:bCs/>
                    </w:rPr>
                    <w:t>II. Ha</w:t>
                  </w:r>
                  <w:r>
                    <w:rPr>
                      <w:rFonts w:hint="eastAsia"/>
                      <w:b/>
                      <w:bCs/>
                    </w:rPr>
                    <w:t>rm</w:t>
                  </w:r>
                  <w:r w:rsidRPr="00DE0D36">
                    <w:rPr>
                      <w:b/>
                      <w:bCs/>
                    </w:rPr>
                    <w:t xml:space="preserve"> to Children’s Right to Life, Right to Health,</w:t>
                  </w:r>
                  <w:r w:rsidRPr="00B13574">
                    <w:t xml:space="preserve"> and </w:t>
                  </w:r>
                  <w:r w:rsidRPr="00311586">
                    <w:rPr>
                      <w:b/>
                      <w:bCs/>
                    </w:rPr>
                    <w:t>the</w:t>
                  </w:r>
                  <w:r w:rsidRPr="00311586">
                    <w:rPr>
                      <w:rFonts w:hint="eastAsia"/>
                      <w:b/>
                      <w:bCs/>
                    </w:rPr>
                    <w:t xml:space="preserve"> </w:t>
                  </w:r>
                  <w:r w:rsidRPr="00311586">
                    <w:rPr>
                      <w:b/>
                      <w:bCs/>
                    </w:rPr>
                    <w:t>Right of Children to Special Protection</w:t>
                  </w:r>
                  <w:r w:rsidRPr="00B13574">
                    <w:t xml:space="preserve"> </w:t>
                  </w:r>
                  <w:r w:rsidRPr="00311586">
                    <w:rPr>
                      <w:b/>
                      <w:bCs/>
                    </w:rPr>
                    <w:t>under Article 1</w:t>
                  </w:r>
                  <w:r w:rsidRPr="00311586">
                    <w:rPr>
                      <w:rFonts w:hint="eastAsia"/>
                      <w:b/>
                      <w:bCs/>
                    </w:rPr>
                    <w:t>0</w:t>
                  </w:r>
                  <w:r w:rsidRPr="00311586">
                    <w:rPr>
                      <w:b/>
                      <w:bCs/>
                    </w:rPr>
                    <w:t xml:space="preserve"> of the ICESCR </w:t>
                  </w:r>
                  <w:r w:rsidRPr="00311586">
                    <w:rPr>
                      <w:rFonts w:hint="eastAsia"/>
                      <w:b/>
                      <w:bCs/>
                    </w:rPr>
                    <w:t xml:space="preserve">&amp; </w:t>
                  </w:r>
                  <w:r w:rsidRPr="00311586">
                    <w:rPr>
                      <w:b/>
                      <w:bCs/>
                    </w:rPr>
                    <w:t>Article 24 of the ICCPR</w:t>
                  </w:r>
                </w:p>
                <w:p w:rsidR="00311586" w:rsidRDefault="00311586" w:rsidP="00311586">
                  <w:r>
                    <w:t xml:space="preserve">Currently, IVF infants account for as much as 6% of newborns in Taiwan (a rate higher than that of the US, Germany, and Sweden, and other countries). However, medical research has confirmed that IVF infants face higher risks of premature birth, low birth weight, and congenital defects, leading to an overall increase in perinatal and infant mortality. They also face elevated probabilities of autism, intellectual disability, and childhood cancer (a correlation already confirmed by Taiwanese pediatricians’ research). The widespread use of </w:t>
                  </w:r>
                  <w:r>
                    <w:rPr>
                      <w:rFonts w:hint="eastAsia"/>
                    </w:rPr>
                    <w:t>ART</w:t>
                  </w:r>
                  <w:r>
                    <w:t xml:space="preserve"> has substantially increased health risks for the next generation as a whole.</w:t>
                  </w:r>
                </w:p>
                <w:p w:rsidR="00311586" w:rsidRDefault="00311586" w:rsidP="00311586">
                  <w:pPr>
                    <w:ind w:firstLineChars="400" w:firstLine="960"/>
                  </w:pPr>
                  <w:r>
                    <w:t>Under Article 24 of the ICCPR and the UN Convention on the Rights of the Child (CRC)</w:t>
                  </w:r>
                  <w:r>
                    <w:rPr>
                      <w:rFonts w:hint="eastAsia"/>
                    </w:rPr>
                    <w:t xml:space="preserve">: Children have the right to enjoy the protection required by their age. In all decisions concerning children, the </w:t>
                  </w:r>
                  <w:r>
                    <w:rPr>
                      <w:rFonts w:hint="eastAsia"/>
                    </w:rPr>
                    <w:t>“</w:t>
                  </w:r>
                  <w:r>
                    <w:rPr>
                      <w:rFonts w:hint="eastAsia"/>
                    </w:rPr>
                    <w:t>Best Interests</w:t>
                  </w:r>
                  <w:r>
                    <w:t xml:space="preserve"> of the Child” shall be a primary consideration. The government’s expansion of </w:t>
                  </w:r>
                  <w:proofErr w:type="gramStart"/>
                  <w:r>
                    <w:t>a</w:t>
                  </w:r>
                  <w:r>
                    <w:rPr>
                      <w:rFonts w:hint="eastAsia"/>
                    </w:rPr>
                    <w:t xml:space="preserve">ssisted </w:t>
                  </w:r>
                  <w:r>
                    <w:t xml:space="preserve"> reproduction</w:t>
                  </w:r>
                  <w:proofErr w:type="gramEnd"/>
                  <w:r>
                    <w:t xml:space="preserve"> </w:t>
                  </w:r>
                  <w:r>
                    <w:rPr>
                      <w:rFonts w:hint="eastAsia"/>
                    </w:rPr>
                    <w:t xml:space="preserve">technology </w:t>
                  </w:r>
                  <w:r>
                    <w:t>clearly places adults’ “desire to reproduce” above the “</w:t>
                  </w:r>
                  <w:r>
                    <w:rPr>
                      <w:rFonts w:hint="eastAsia"/>
                    </w:rPr>
                    <w:t>b</w:t>
                  </w:r>
                  <w:r>
                    <w:t xml:space="preserve">est </w:t>
                  </w:r>
                  <w:r>
                    <w:rPr>
                      <w:rFonts w:hint="eastAsia"/>
                    </w:rPr>
                    <w:t>i</w:t>
                  </w:r>
                  <w:r>
                    <w:t xml:space="preserve">nterests of the </w:t>
                  </w:r>
                  <w:r>
                    <w:rPr>
                      <w:rFonts w:hint="eastAsia"/>
                    </w:rPr>
                    <w:t>c</w:t>
                  </w:r>
                  <w:r>
                    <w:t>hild”.</w:t>
                  </w:r>
                </w:p>
                <w:p w:rsidR="00311586" w:rsidRPr="00311586" w:rsidRDefault="00311586" w:rsidP="00311586"/>
                <w:p w:rsidR="00311586" w:rsidRDefault="00311586" w:rsidP="00311586">
                  <w:pPr>
                    <w:rPr>
                      <w:rFonts w:ascii="標楷體" w:eastAsia="標楷體" w:hAnsi="標楷體"/>
                      <w:sz w:val="28"/>
                      <w:szCs w:val="28"/>
                    </w:rPr>
                  </w:pPr>
                </w:p>
                <w:p w:rsidR="00311586" w:rsidRDefault="00311586" w:rsidP="00311586">
                  <w:pPr>
                    <w:rPr>
                      <w:b/>
                      <w:bCs/>
                    </w:rPr>
                  </w:pPr>
                  <w:r w:rsidRPr="00DE0D36">
                    <w:rPr>
                      <w:b/>
                      <w:bCs/>
                    </w:rPr>
                    <w:t xml:space="preserve">III. Recommendations and </w:t>
                  </w:r>
                  <w:r>
                    <w:rPr>
                      <w:rFonts w:hint="eastAsia"/>
                      <w:b/>
                      <w:bCs/>
                    </w:rPr>
                    <w:t>Appeals</w:t>
                  </w:r>
                </w:p>
                <w:p w:rsidR="00311586" w:rsidRDefault="00311586" w:rsidP="00311586">
                  <w:r>
                    <w:t xml:space="preserve">1. Restrict Eligibility: allowing </w:t>
                  </w:r>
                  <w:r>
                    <w:rPr>
                      <w:rFonts w:hint="eastAsia"/>
                    </w:rPr>
                    <w:t xml:space="preserve">ART </w:t>
                  </w:r>
                  <w:r>
                    <w:t xml:space="preserve">only for </w:t>
                  </w:r>
                  <w:r>
                    <w:rPr>
                      <w:rFonts w:hint="eastAsia"/>
                    </w:rPr>
                    <w:t xml:space="preserve">couples </w:t>
                  </w:r>
                  <w:r>
                    <w:t xml:space="preserve">who cannot be treated through conventional medical </w:t>
                  </w:r>
                  <w:r>
                    <w:rPr>
                      <w:rFonts w:hint="eastAsia"/>
                    </w:rPr>
                    <w:t>treatment</w:t>
                  </w:r>
                  <w:r>
                    <w:t>.</w:t>
                  </w:r>
                </w:p>
                <w:p w:rsidR="00311586" w:rsidRDefault="00311586" w:rsidP="00311586">
                  <w:r>
                    <w:rPr>
                      <w:rFonts w:hint="eastAsia"/>
                    </w:rPr>
                    <w:t xml:space="preserve">2. </w:t>
                  </w:r>
                  <w:r>
                    <w:t xml:space="preserve">Protect Women’s Right to Informed Consent: </w:t>
                  </w:r>
                  <w:r>
                    <w:rPr>
                      <w:rFonts w:hint="eastAsia"/>
                    </w:rPr>
                    <w:t>ART clinics</w:t>
                  </w:r>
                  <w:r>
                    <w:t xml:space="preserve"> must be required to fully disclose to patients the real success rate (lower than 20%)</w:t>
                  </w:r>
                  <w:r>
                    <w:rPr>
                      <w:rFonts w:hint="eastAsia"/>
                    </w:rPr>
                    <w:t xml:space="preserve"> and</w:t>
                  </w:r>
                  <w:r>
                    <w:t xml:space="preserve"> short-term and long-term health risks, and establish a third-party consultation and review mechanism.</w:t>
                  </w:r>
                </w:p>
                <w:p w:rsidR="00311586" w:rsidRDefault="00311586" w:rsidP="00311586">
                  <w:r>
                    <w:rPr>
                      <w:rFonts w:hint="eastAsia"/>
                    </w:rPr>
                    <w:t>3. Stop</w:t>
                  </w:r>
                  <w:r>
                    <w:t xml:space="preserve"> Gamete Donation: safeguard children’s right to know their biological origins, and </w:t>
                  </w:r>
                  <w:r>
                    <w:lastRenderedPageBreak/>
                    <w:t>prevent the commodification of human tissues (sperm and eggs).</w:t>
                  </w:r>
                </w:p>
                <w:p w:rsidR="00311586" w:rsidRDefault="00311586" w:rsidP="00311586">
                  <w:r>
                    <w:rPr>
                      <w:rFonts w:hint="eastAsia"/>
                    </w:rPr>
                    <w:t xml:space="preserve">4. </w:t>
                  </w:r>
                  <w:r>
                    <w:t>Prohibit Commercial Advertising: A</w:t>
                  </w:r>
                  <w:r>
                    <w:rPr>
                      <w:rFonts w:hint="eastAsia"/>
                    </w:rPr>
                    <w:t>ssisted</w:t>
                  </w:r>
                  <w:r>
                    <w:t xml:space="preserve"> reproduction</w:t>
                  </w:r>
                  <w:r>
                    <w:rPr>
                      <w:rFonts w:hint="eastAsia"/>
                    </w:rPr>
                    <w:t xml:space="preserve"> technology</w:t>
                  </w:r>
                  <w:r>
                    <w:t xml:space="preserve"> is a highly invasive medical procedure. The government should, in line with the Medical Care Act and Pharmaceutical Affairs Act, strictly prohibit clinics from using commercial packaging such as “egg freezing for future </w:t>
                  </w:r>
                  <w:r>
                    <w:rPr>
                      <w:rFonts w:hint="eastAsia"/>
                    </w:rPr>
                    <w:t>baby</w:t>
                  </w:r>
                  <w:r>
                    <w:t>” or “solve your infertility problems” in advertisements, to avoid misleading the public and causing them to overlook medical risks.</w:t>
                  </w:r>
                </w:p>
                <w:p w:rsidR="00311586" w:rsidRPr="00C92A2F" w:rsidRDefault="00311586" w:rsidP="00311586">
                  <w:pPr>
                    <w:rPr>
                      <w:rFonts w:ascii="標楷體" w:eastAsia="標楷體" w:hAnsi="標楷體"/>
                      <w:sz w:val="28"/>
                      <w:szCs w:val="28"/>
                    </w:rPr>
                  </w:pPr>
                </w:p>
              </w:tc>
            </w:tr>
          </w:tbl>
          <w:p w:rsidR="00D17299" w:rsidRPr="00311586" w:rsidRDefault="00D17299">
            <w:pPr>
              <w:overflowPunct w:val="0"/>
              <w:spacing w:line="360" w:lineRule="exact"/>
              <w:jc w:val="both"/>
              <w:rPr>
                <w:rFonts w:ascii="標楷體" w:eastAsia="標楷體" w:hAnsi="標楷體"/>
                <w:sz w:val="28"/>
                <w:szCs w:val="28"/>
              </w:rPr>
            </w:pPr>
          </w:p>
        </w:tc>
      </w:tr>
      <w:tr w:rsidR="0083549A" w:rsidTr="00394E94">
        <w:trPr>
          <w:jc w:val="center"/>
        </w:trPr>
        <w:tc>
          <w:tcPr>
            <w:tcW w:w="9400" w:type="dxa"/>
            <w:gridSpan w:val="3"/>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83549A" w:rsidRDefault="005E6C8F">
            <w:pPr>
              <w:overflowPunct w:val="0"/>
              <w:spacing w:line="360" w:lineRule="exact"/>
              <w:ind w:left="552" w:hanging="552"/>
              <w:rPr>
                <w:rFonts w:ascii="標楷體" w:eastAsia="標楷體" w:hAnsi="標楷體"/>
                <w:b/>
                <w:bCs/>
                <w:sz w:val="28"/>
                <w:szCs w:val="28"/>
              </w:rPr>
            </w:pPr>
            <w:r>
              <w:rPr>
                <w:rFonts w:ascii="標楷體" w:eastAsia="標楷體" w:hAnsi="標楷體"/>
                <w:b/>
                <w:bCs/>
                <w:sz w:val="28"/>
                <w:szCs w:val="28"/>
              </w:rPr>
              <w:lastRenderedPageBreak/>
              <w:t>二、上述摘要所涉及之公約條文、結論性意見與建議、一般性意見或其他參考文件(</w:t>
            </w:r>
            <w:proofErr w:type="gramStart"/>
            <w:r>
              <w:rPr>
                <w:rFonts w:ascii="標楷體" w:eastAsia="標楷體" w:hAnsi="標楷體"/>
                <w:b/>
                <w:bCs/>
                <w:sz w:val="28"/>
                <w:szCs w:val="28"/>
              </w:rPr>
              <w:t>必填</w:t>
            </w:r>
            <w:proofErr w:type="gramEnd"/>
            <w:r>
              <w:rPr>
                <w:rFonts w:ascii="標楷體" w:eastAsia="標楷體" w:hAnsi="標楷體"/>
                <w:b/>
                <w:bCs/>
                <w:sz w:val="28"/>
                <w:szCs w:val="28"/>
              </w:rPr>
              <w:t>，並請依發言內容與各該條文、結論性意見與建議或一般性意見之關聯性由高至低排序)</w:t>
            </w:r>
          </w:p>
          <w:p w:rsidR="00121D8C" w:rsidRPr="00394E94" w:rsidRDefault="00121D8C" w:rsidP="00121D8C">
            <w:pPr>
              <w:rPr>
                <w:bCs/>
                <w:sz w:val="28"/>
              </w:rPr>
            </w:pPr>
            <w:r w:rsidRPr="00394E94">
              <w:rPr>
                <w:bCs/>
                <w:sz w:val="28"/>
              </w:rPr>
              <w:t>Article 12 of the ICESCR: [Right to Health]</w:t>
            </w:r>
          </w:p>
          <w:p w:rsidR="00121D8C" w:rsidRPr="00394E94" w:rsidRDefault="00121D8C" w:rsidP="00121D8C">
            <w:pPr>
              <w:rPr>
                <w:bCs/>
                <w:sz w:val="28"/>
              </w:rPr>
            </w:pPr>
            <w:r w:rsidRPr="00394E94">
              <w:rPr>
                <w:bCs/>
                <w:sz w:val="28"/>
              </w:rPr>
              <w:t>Article 1</w:t>
            </w:r>
            <w:r w:rsidRPr="00394E94">
              <w:rPr>
                <w:rFonts w:hint="eastAsia"/>
                <w:bCs/>
                <w:sz w:val="28"/>
              </w:rPr>
              <w:t>0</w:t>
            </w:r>
            <w:r w:rsidRPr="00394E94">
              <w:rPr>
                <w:bCs/>
                <w:sz w:val="28"/>
              </w:rPr>
              <w:t xml:space="preserve"> of the ICESCR:</w:t>
            </w:r>
            <w:r w:rsidRPr="00394E94">
              <w:rPr>
                <w:rFonts w:hint="eastAsia"/>
                <w:bCs/>
                <w:sz w:val="28"/>
              </w:rPr>
              <w:t xml:space="preserve"> </w:t>
            </w:r>
            <w:r w:rsidRPr="00394E94">
              <w:rPr>
                <w:bCs/>
                <w:sz w:val="28"/>
              </w:rPr>
              <w:t xml:space="preserve">[ Right of Children to Special Protection]   </w:t>
            </w:r>
          </w:p>
          <w:p w:rsidR="00121D8C" w:rsidRPr="00394E94" w:rsidRDefault="00121D8C" w:rsidP="00121D8C">
            <w:pPr>
              <w:rPr>
                <w:bCs/>
                <w:sz w:val="28"/>
              </w:rPr>
            </w:pPr>
            <w:r w:rsidRPr="00394E94">
              <w:rPr>
                <w:bCs/>
                <w:sz w:val="28"/>
              </w:rPr>
              <w:t xml:space="preserve">Article 7 of the ICCPR: [Freedom from Torture or Inhuman Treatment / </w:t>
            </w:r>
            <w:r w:rsidRPr="00394E94">
              <w:rPr>
                <w:rFonts w:hint="eastAsia"/>
                <w:bCs/>
                <w:sz w:val="28"/>
              </w:rPr>
              <w:t xml:space="preserve">Right to </w:t>
            </w:r>
            <w:r w:rsidRPr="00394E94">
              <w:rPr>
                <w:bCs/>
                <w:sz w:val="28"/>
              </w:rPr>
              <w:t xml:space="preserve">Informed Consent] </w:t>
            </w:r>
          </w:p>
          <w:p w:rsidR="00121D8C" w:rsidRPr="00394E94" w:rsidRDefault="00121D8C" w:rsidP="00121D8C">
            <w:pPr>
              <w:rPr>
                <w:bCs/>
                <w:sz w:val="28"/>
              </w:rPr>
            </w:pPr>
            <w:r w:rsidRPr="00394E94">
              <w:rPr>
                <w:bCs/>
                <w:sz w:val="28"/>
              </w:rPr>
              <w:t xml:space="preserve">Article 6 of the ICCPR: [Right to Life] </w:t>
            </w:r>
          </w:p>
          <w:p w:rsidR="00121D8C" w:rsidRPr="00394E94" w:rsidRDefault="00121D8C" w:rsidP="00121D8C">
            <w:pPr>
              <w:rPr>
                <w:bCs/>
                <w:sz w:val="28"/>
              </w:rPr>
            </w:pPr>
            <w:r w:rsidRPr="00394E94">
              <w:rPr>
                <w:bCs/>
                <w:sz w:val="28"/>
              </w:rPr>
              <w:t xml:space="preserve">Article 24 of the ICCPR: and the Convention on the Rights of the Child (CRC) </w:t>
            </w:r>
          </w:p>
          <w:p w:rsidR="0083549A" w:rsidRPr="00121D8C" w:rsidRDefault="0083549A" w:rsidP="00311586">
            <w:pPr>
              <w:adjustRightInd w:val="0"/>
              <w:snapToGrid w:val="0"/>
              <w:rPr>
                <w:rFonts w:ascii="標楷體" w:eastAsia="標楷體" w:hAnsi="標楷體"/>
                <w:sz w:val="28"/>
                <w:szCs w:val="28"/>
              </w:rPr>
            </w:pPr>
          </w:p>
        </w:tc>
      </w:tr>
      <w:tr w:rsidR="0083549A" w:rsidTr="00394E94">
        <w:trPr>
          <w:trHeight w:val="834"/>
          <w:jc w:val="center"/>
        </w:trPr>
        <w:tc>
          <w:tcPr>
            <w:tcW w:w="9400" w:type="dxa"/>
            <w:gridSpan w:val="3"/>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394E94" w:rsidRPr="00394E94" w:rsidRDefault="005E6C8F" w:rsidP="00394E94">
            <w:pPr>
              <w:overflowPunct w:val="0"/>
              <w:spacing w:line="360" w:lineRule="exact"/>
              <w:rPr>
                <w:rStyle w:val="y2iqfc"/>
                <w:rFonts w:ascii="標楷體" w:eastAsia="標楷體" w:hAnsi="標楷體" w:hint="eastAsia"/>
                <w:b/>
                <w:bCs/>
                <w:sz w:val="28"/>
                <w:szCs w:val="28"/>
              </w:rPr>
            </w:pPr>
            <w:r>
              <w:rPr>
                <w:rFonts w:ascii="標楷體" w:eastAsia="標楷體" w:hAnsi="標楷體"/>
                <w:b/>
                <w:bCs/>
                <w:sz w:val="28"/>
                <w:szCs w:val="28"/>
              </w:rPr>
              <w:t>三、附件(如有附件請註明附件名稱)</w:t>
            </w:r>
            <w:r w:rsidR="00394E94">
              <w:rPr>
                <w:rFonts w:ascii="標楷體" w:eastAsia="標楷體" w:hAnsi="標楷體" w:hint="eastAsia"/>
                <w:b/>
                <w:bCs/>
                <w:sz w:val="28"/>
                <w:szCs w:val="28"/>
              </w:rPr>
              <w:t xml:space="preserve"> Attachments</w:t>
            </w:r>
          </w:p>
          <w:p w:rsidR="00394E94" w:rsidRDefault="00394E94" w:rsidP="00394E94">
            <w:pPr>
              <w:rPr>
                <w:rFonts w:hint="eastAsia"/>
              </w:rPr>
            </w:pPr>
            <w:r>
              <w:rPr>
                <w:rStyle w:val="y2iqfc"/>
                <w:rFonts w:ascii="inherit" w:hAnsi="inherit"/>
                <w:color w:val="1F1F1F"/>
                <w:sz w:val="42"/>
                <w:szCs w:val="42"/>
                <w:lang/>
              </w:rPr>
              <w:t>Offspring of sperm donors call for an end to the sperm donation birth program</w:t>
            </w:r>
          </w:p>
          <w:p w:rsidR="00394E94" w:rsidRDefault="00394E94" w:rsidP="00394E94">
            <w:pPr>
              <w:rPr>
                <w:rFonts w:hint="eastAsia"/>
              </w:rPr>
            </w:pPr>
          </w:p>
          <w:tbl>
            <w:tblPr>
              <w:tblW w:w="807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962"/>
              <w:gridCol w:w="3116"/>
            </w:tblGrid>
            <w:tr w:rsidR="00394E94" w:rsidRPr="00417C5B" w:rsidTr="00A61405">
              <w:trPr>
                <w:trHeight w:val="255"/>
              </w:trPr>
              <w:tc>
                <w:tcPr>
                  <w:tcW w:w="4962" w:type="dxa"/>
                  <w:shd w:val="clear" w:color="FFFFFF" w:fill="FFFFFF"/>
                  <w:noWrap/>
                  <w:vAlign w:val="bottom"/>
                  <w:hideMark/>
                </w:tcPr>
                <w:p w:rsidR="00394E94" w:rsidRPr="00417C5B" w:rsidRDefault="00394E94" w:rsidP="00A61405">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細明體" w:hAnsi="inherit" w:cs="細明體"/>
                      <w:color w:val="1F1F1F"/>
                      <w:kern w:val="0"/>
                      <w:sz w:val="36"/>
                      <w:szCs w:val="42"/>
                    </w:rPr>
                  </w:pPr>
                  <w:r w:rsidRPr="00417C5B">
                    <w:rPr>
                      <w:rFonts w:ascii="inherit" w:eastAsia="細明體" w:hAnsi="inherit" w:cs="細明體"/>
                      <w:color w:val="1F1F1F"/>
                      <w:kern w:val="0"/>
                      <w:sz w:val="36"/>
                      <w:lang/>
                    </w:rPr>
                    <w:t>Stephanie, the offspring of a sperm donor, spoke at the United Nations in 2018.</w:t>
                  </w:r>
                </w:p>
                <w:p w:rsidR="00394E94" w:rsidRPr="00417C5B" w:rsidRDefault="00394E94" w:rsidP="00A61405">
                  <w:pPr>
                    <w:widowControl/>
                    <w:rPr>
                      <w:rFonts w:ascii="Arial" w:hAnsi="Arial" w:cs="Arial"/>
                      <w:color w:val="000000"/>
                      <w:kern w:val="0"/>
                      <w:sz w:val="20"/>
                      <w:szCs w:val="20"/>
                    </w:rPr>
                  </w:pPr>
                  <w:r w:rsidRPr="00417C5B">
                    <w:rPr>
                      <w:rFonts w:ascii="Arial" w:hAnsi="Arial" w:cs="Arial"/>
                      <w:color w:val="000000"/>
                      <w:kern w:val="0"/>
                      <w:szCs w:val="32"/>
                    </w:rPr>
                    <w:t>捐精後代</w:t>
                  </w:r>
                  <w:r w:rsidRPr="00417C5B">
                    <w:rPr>
                      <w:rFonts w:ascii="Arial" w:hAnsi="Arial" w:cs="Arial"/>
                      <w:color w:val="000000"/>
                      <w:kern w:val="0"/>
                      <w:szCs w:val="32"/>
                    </w:rPr>
                    <w:t xml:space="preserve"> Stephanie 2018</w:t>
                  </w:r>
                  <w:r w:rsidRPr="00417C5B">
                    <w:rPr>
                      <w:rFonts w:ascii="Arial" w:hAnsi="Arial" w:cs="Arial"/>
                      <w:color w:val="000000"/>
                      <w:kern w:val="0"/>
                      <w:szCs w:val="32"/>
                    </w:rPr>
                    <w:t>年在聯合國發言</w:t>
                  </w:r>
                  <w:hyperlink r:id="rId7" w:history="1">
                    <w:r w:rsidRPr="00417C5B">
                      <w:rPr>
                        <w:rFonts w:ascii="Arial" w:hAnsi="Arial" w:cs="Arial"/>
                        <w:color w:val="0000FF"/>
                        <w:kern w:val="0"/>
                        <w:sz w:val="20"/>
                        <w:u w:val="single"/>
                      </w:rPr>
                      <w:t>https://reurl.cc/OGYMQ9</w:t>
                    </w:r>
                  </w:hyperlink>
                </w:p>
              </w:tc>
              <w:tc>
                <w:tcPr>
                  <w:tcW w:w="3116" w:type="dxa"/>
                  <w:shd w:val="clear" w:color="FFFFFF" w:fill="FFFFFF"/>
                </w:tcPr>
                <w:p w:rsidR="00394E94" w:rsidRDefault="00394E94" w:rsidP="00A61405">
                  <w:pPr>
                    <w:widowControl/>
                    <w:rPr>
                      <w:rFonts w:ascii="Arial" w:hAnsi="Arial" w:cs="Arial" w:hint="eastAsia"/>
                      <w:color w:val="0000FF"/>
                      <w:kern w:val="0"/>
                      <w:sz w:val="20"/>
                      <w:szCs w:val="20"/>
                      <w:u w:val="single"/>
                    </w:rPr>
                  </w:pPr>
                </w:p>
                <w:p w:rsidR="00394E94" w:rsidRPr="00417C5B" w:rsidRDefault="00394E94" w:rsidP="00A61405">
                  <w:pPr>
                    <w:widowControl/>
                    <w:rPr>
                      <w:rFonts w:ascii="Arial" w:hAnsi="Arial" w:cs="Arial"/>
                      <w:color w:val="0000FF"/>
                      <w:kern w:val="0"/>
                      <w:sz w:val="20"/>
                      <w:szCs w:val="20"/>
                      <w:u w:val="single"/>
                    </w:rPr>
                  </w:pPr>
                  <w:r>
                    <w:rPr>
                      <w:noProof/>
                    </w:rPr>
                    <w:drawing>
                      <wp:inline distT="0" distB="0" distL="0" distR="0">
                        <wp:extent cx="1914525" cy="1914525"/>
                        <wp:effectExtent l="19050" t="0" r="9525"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14525" cy="1914525"/>
                                </a:xfrm>
                                <a:prstGeom prst="rect">
                                  <a:avLst/>
                                </a:prstGeom>
                                <a:noFill/>
                                <a:ln w="9525">
                                  <a:noFill/>
                                  <a:miter lim="800000"/>
                                  <a:headEnd/>
                                  <a:tailEnd/>
                                </a:ln>
                              </pic:spPr>
                            </pic:pic>
                          </a:graphicData>
                        </a:graphic>
                      </wp:inline>
                    </w:drawing>
                  </w:r>
                </w:p>
              </w:tc>
            </w:tr>
            <w:tr w:rsidR="00394E94" w:rsidRPr="00417C5B" w:rsidTr="00A61405">
              <w:trPr>
                <w:trHeight w:val="255"/>
              </w:trPr>
              <w:tc>
                <w:tcPr>
                  <w:tcW w:w="4962" w:type="dxa"/>
                  <w:shd w:val="clear" w:color="E8F0FE" w:fill="E8F0FE"/>
                  <w:noWrap/>
                  <w:vAlign w:val="bottom"/>
                  <w:hideMark/>
                </w:tcPr>
                <w:p w:rsidR="00394E94" w:rsidRDefault="00394E94" w:rsidP="00A61405">
                  <w:pPr>
                    <w:pStyle w:val="HTML"/>
                    <w:shd w:val="clear" w:color="auto" w:fill="F8F9FA"/>
                    <w:spacing w:line="540" w:lineRule="atLeast"/>
                    <w:rPr>
                      <w:rFonts w:ascii="inherit" w:hAnsi="inherit"/>
                      <w:color w:val="1F1F1F"/>
                      <w:sz w:val="42"/>
                      <w:szCs w:val="42"/>
                    </w:rPr>
                  </w:pPr>
                  <w:r>
                    <w:rPr>
                      <w:rStyle w:val="y2iqfc"/>
                      <w:rFonts w:ascii="inherit" w:hAnsi="inherit"/>
                      <w:color w:val="1F1F1F"/>
                      <w:sz w:val="42"/>
                      <w:szCs w:val="42"/>
                      <w:lang/>
                    </w:rPr>
                    <w:t>Offspring of sperm donors call for an end to the sperm donation birth program</w:t>
                  </w:r>
                </w:p>
                <w:p w:rsidR="00394E94" w:rsidRPr="00417C5B" w:rsidRDefault="00394E94" w:rsidP="00A61405">
                  <w:pPr>
                    <w:widowControl/>
                    <w:rPr>
                      <w:rFonts w:ascii="Arial" w:hAnsi="Arial" w:cs="Arial"/>
                      <w:color w:val="000000"/>
                      <w:kern w:val="0"/>
                      <w:sz w:val="20"/>
                      <w:szCs w:val="20"/>
                    </w:rPr>
                  </w:pPr>
                  <w:r w:rsidRPr="00417C5B">
                    <w:rPr>
                      <w:rFonts w:ascii="Arial" w:hAnsi="Arial" w:cs="Arial"/>
                      <w:color w:val="000000"/>
                      <w:kern w:val="0"/>
                      <w:sz w:val="32"/>
                      <w:szCs w:val="32"/>
                    </w:rPr>
                    <w:t>捐精後代呼籲結束</w:t>
                  </w:r>
                  <w:proofErr w:type="gramStart"/>
                  <w:r w:rsidRPr="00417C5B">
                    <w:rPr>
                      <w:rFonts w:ascii="Arial" w:hAnsi="Arial" w:cs="Arial"/>
                      <w:color w:val="000000"/>
                      <w:kern w:val="0"/>
                      <w:sz w:val="32"/>
                      <w:szCs w:val="32"/>
                    </w:rPr>
                    <w:t>捐精生子</w:t>
                  </w:r>
                  <w:proofErr w:type="gramEnd"/>
                  <w:r w:rsidRPr="00417C5B">
                    <w:rPr>
                      <w:rFonts w:ascii="Arial" w:hAnsi="Arial" w:cs="Arial"/>
                      <w:color w:val="000000"/>
                      <w:kern w:val="0"/>
                      <w:sz w:val="32"/>
                      <w:szCs w:val="32"/>
                    </w:rPr>
                    <w:t>計劃</w:t>
                  </w:r>
                  <w:r>
                    <w:rPr>
                      <w:rFonts w:ascii="Arial" w:hAnsi="Arial" w:cs="Arial" w:hint="eastAsia"/>
                      <w:color w:val="000000"/>
                      <w:kern w:val="0"/>
                      <w:sz w:val="20"/>
                      <w:szCs w:val="20"/>
                    </w:rPr>
                    <w:br/>
                  </w:r>
                  <w:hyperlink r:id="rId9" w:history="1">
                    <w:r w:rsidRPr="00417C5B">
                      <w:rPr>
                        <w:rFonts w:ascii="Arial" w:hAnsi="Arial" w:cs="Arial"/>
                        <w:color w:val="0000FF"/>
                        <w:kern w:val="0"/>
                        <w:sz w:val="20"/>
                        <w:u w:val="single"/>
                      </w:rPr>
                      <w:t>https://reurl.cc/yYRLo6</w:t>
                    </w:r>
                  </w:hyperlink>
                </w:p>
              </w:tc>
              <w:tc>
                <w:tcPr>
                  <w:tcW w:w="3116" w:type="dxa"/>
                  <w:shd w:val="clear" w:color="E8F0FE" w:fill="E8F0FE"/>
                </w:tcPr>
                <w:p w:rsidR="00394E94" w:rsidRPr="00417C5B" w:rsidRDefault="00394E94" w:rsidP="00A61405">
                  <w:pPr>
                    <w:widowControl/>
                    <w:rPr>
                      <w:rFonts w:ascii="Arial" w:hAnsi="Arial" w:cs="Arial"/>
                      <w:color w:val="0000FF"/>
                      <w:kern w:val="0"/>
                      <w:sz w:val="20"/>
                      <w:szCs w:val="20"/>
                      <w:u w:val="single"/>
                    </w:rPr>
                  </w:pPr>
                  <w:r>
                    <w:rPr>
                      <w:rFonts w:ascii="Arial" w:hAnsi="Arial" w:cs="Arial"/>
                      <w:noProof/>
                      <w:color w:val="0000FF"/>
                      <w:kern w:val="0"/>
                      <w:sz w:val="20"/>
                      <w:szCs w:val="20"/>
                      <w:u w:val="single"/>
                    </w:rPr>
                    <w:drawing>
                      <wp:inline distT="0" distB="0" distL="0" distR="0">
                        <wp:extent cx="1847850" cy="1847850"/>
                        <wp:effectExtent l="19050" t="0" r="0" b="0"/>
                        <wp:docPr id="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tc>
            </w:tr>
          </w:tbl>
          <w:p w:rsidR="0083549A" w:rsidRDefault="0083549A">
            <w:pPr>
              <w:overflowPunct w:val="0"/>
              <w:spacing w:line="360" w:lineRule="exact"/>
              <w:rPr>
                <w:rFonts w:ascii="標楷體" w:eastAsia="標楷體" w:hAnsi="標楷體"/>
                <w:b/>
                <w:bCs/>
                <w:sz w:val="28"/>
                <w:szCs w:val="28"/>
              </w:rPr>
            </w:pPr>
          </w:p>
        </w:tc>
      </w:tr>
    </w:tbl>
    <w:p w:rsidR="0083549A" w:rsidRDefault="0083549A">
      <w:pPr>
        <w:overflowPunct w:val="0"/>
        <w:spacing w:before="180" w:line="540" w:lineRule="exact"/>
        <w:rPr>
          <w:rFonts w:ascii="標楷體" w:eastAsia="標楷體" w:hAnsi="標楷體"/>
          <w:b/>
          <w:sz w:val="32"/>
          <w:szCs w:val="32"/>
        </w:rPr>
      </w:pPr>
    </w:p>
    <w:sectPr w:rsidR="0083549A" w:rsidSect="0083549A">
      <w:headerReference w:type="default" r:id="rId11"/>
      <w:footerReference w:type="default" r:id="rId12"/>
      <w:pgSz w:w="11906" w:h="16838"/>
      <w:pgMar w:top="933" w:right="1446" w:bottom="1440" w:left="1276" w:header="426" w:footer="992" w:gutter="0"/>
      <w:pgNumType w:start="1"/>
      <w:cols w:space="720"/>
      <w:docGrid w:type="lines" w:linePitch="4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27A" w:rsidRDefault="0078127A" w:rsidP="0083549A">
      <w:r>
        <w:separator/>
      </w:r>
    </w:p>
  </w:endnote>
  <w:endnote w:type="continuationSeparator" w:id="0">
    <w:p w:rsidR="0078127A" w:rsidRDefault="0078127A" w:rsidP="00835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49A" w:rsidRDefault="005F09B0">
    <w:pPr>
      <w:pStyle w:val="a4"/>
      <w:jc w:val="center"/>
    </w:pPr>
    <w:r>
      <w:rPr>
        <w:lang w:val="zh-TW"/>
      </w:rPr>
      <w:fldChar w:fldCharType="begin"/>
    </w:r>
    <w:r w:rsidR="0083549A">
      <w:rPr>
        <w:lang w:val="zh-TW"/>
      </w:rPr>
      <w:instrText xml:space="preserve"> PAGE </w:instrText>
    </w:r>
    <w:r>
      <w:rPr>
        <w:lang w:val="zh-TW"/>
      </w:rPr>
      <w:fldChar w:fldCharType="separate"/>
    </w:r>
    <w:r w:rsidR="00440BAE">
      <w:rPr>
        <w:noProof/>
        <w:lang w:val="zh-TW"/>
      </w:rPr>
      <w:t>3</w:t>
    </w:r>
    <w:r>
      <w:rPr>
        <w:lang w:val="zh-TW"/>
      </w:rPr>
      <w:fldChar w:fldCharType="end"/>
    </w:r>
  </w:p>
  <w:p w:rsidR="0083549A" w:rsidRDefault="008354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27A" w:rsidRDefault="0078127A" w:rsidP="0083549A">
      <w:r w:rsidRPr="0083549A">
        <w:rPr>
          <w:color w:val="000000"/>
        </w:rPr>
        <w:separator/>
      </w:r>
    </w:p>
  </w:footnote>
  <w:footnote w:type="continuationSeparator" w:id="0">
    <w:p w:rsidR="0078127A" w:rsidRDefault="0078127A" w:rsidP="00835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49A" w:rsidRDefault="0083549A">
    <w:pPr>
      <w:pStyle w:val="a3"/>
    </w:pPr>
  </w:p>
  <w:p w:rsidR="0083549A" w:rsidRDefault="0083549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7DE5"/>
    <w:multiLevelType w:val="hybridMultilevel"/>
    <w:tmpl w:val="FBDCE0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F96C86"/>
    <w:multiLevelType w:val="multilevel"/>
    <w:tmpl w:val="19E02F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D483A9B"/>
    <w:multiLevelType w:val="hybridMultilevel"/>
    <w:tmpl w:val="AA144D26"/>
    <w:lvl w:ilvl="0" w:tplc="4E64C3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5A201D"/>
    <w:multiLevelType w:val="multilevel"/>
    <w:tmpl w:val="5DC264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46C001F"/>
    <w:multiLevelType w:val="multilevel"/>
    <w:tmpl w:val="8D84970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F685EDD"/>
    <w:multiLevelType w:val="multilevel"/>
    <w:tmpl w:val="08E0B3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BF451E5"/>
    <w:multiLevelType w:val="multilevel"/>
    <w:tmpl w:val="FE0EF6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472A58A5"/>
    <w:multiLevelType w:val="hybridMultilevel"/>
    <w:tmpl w:val="D0362540"/>
    <w:lvl w:ilvl="0" w:tplc="A6F460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206F8E"/>
    <w:multiLevelType w:val="multilevel"/>
    <w:tmpl w:val="F89042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56937D8E"/>
    <w:multiLevelType w:val="multilevel"/>
    <w:tmpl w:val="1518BB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8"/>
  </w:num>
  <w:num w:numId="3">
    <w:abstractNumId w:val="6"/>
  </w:num>
  <w:num w:numId="4">
    <w:abstractNumId w:val="4"/>
  </w:num>
  <w:num w:numId="5">
    <w:abstractNumId w:val="5"/>
  </w:num>
  <w:num w:numId="6">
    <w:abstractNumId w:val="1"/>
  </w:num>
  <w:num w:numId="7">
    <w:abstractNumId w:val="3"/>
  </w:num>
  <w:num w:numId="8">
    <w:abstractNumId w:val="0"/>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
  <w:rsids>
    <w:rsidRoot w:val="0083549A"/>
    <w:rsid w:val="0007693D"/>
    <w:rsid w:val="00121D8C"/>
    <w:rsid w:val="00245539"/>
    <w:rsid w:val="00311586"/>
    <w:rsid w:val="00394E94"/>
    <w:rsid w:val="00440BAE"/>
    <w:rsid w:val="005E6C8F"/>
    <w:rsid w:val="005F09B0"/>
    <w:rsid w:val="0078127A"/>
    <w:rsid w:val="00822213"/>
    <w:rsid w:val="0083549A"/>
    <w:rsid w:val="00A770AE"/>
    <w:rsid w:val="00A8230A"/>
    <w:rsid w:val="00AC6A3D"/>
    <w:rsid w:val="00B942BD"/>
    <w:rsid w:val="00CF39DD"/>
    <w:rsid w:val="00D14813"/>
    <w:rsid w:val="00D17299"/>
    <w:rsid w:val="00D73E3F"/>
    <w:rsid w:val="00FC57E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549A"/>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3549A"/>
    <w:pPr>
      <w:spacing w:line="480" w:lineRule="exact"/>
    </w:pPr>
    <w:rPr>
      <w:rFonts w:eastAsia="標楷體"/>
      <w:sz w:val="28"/>
    </w:rPr>
  </w:style>
  <w:style w:type="paragraph" w:styleId="a3">
    <w:name w:val="header"/>
    <w:basedOn w:val="a"/>
    <w:rsid w:val="0083549A"/>
    <w:pPr>
      <w:tabs>
        <w:tab w:val="center" w:pos="4153"/>
        <w:tab w:val="right" w:pos="8306"/>
      </w:tabs>
      <w:snapToGrid w:val="0"/>
    </w:pPr>
    <w:rPr>
      <w:sz w:val="20"/>
      <w:szCs w:val="20"/>
    </w:rPr>
  </w:style>
  <w:style w:type="paragraph" w:styleId="a4">
    <w:name w:val="footer"/>
    <w:basedOn w:val="a"/>
    <w:rsid w:val="0083549A"/>
    <w:pPr>
      <w:tabs>
        <w:tab w:val="center" w:pos="4153"/>
        <w:tab w:val="right" w:pos="8306"/>
      </w:tabs>
      <w:snapToGrid w:val="0"/>
    </w:pPr>
    <w:rPr>
      <w:sz w:val="20"/>
      <w:szCs w:val="20"/>
    </w:rPr>
  </w:style>
  <w:style w:type="character" w:customStyle="1" w:styleId="a5">
    <w:name w:val="頁尾 字元"/>
    <w:rsid w:val="0083549A"/>
    <w:rPr>
      <w:kern w:val="3"/>
    </w:rPr>
  </w:style>
  <w:style w:type="paragraph" w:styleId="a6">
    <w:name w:val="List Paragraph"/>
    <w:basedOn w:val="a"/>
    <w:rsid w:val="0083549A"/>
    <w:pPr>
      <w:ind w:left="480"/>
    </w:pPr>
  </w:style>
  <w:style w:type="paragraph" w:customStyle="1" w:styleId="Default">
    <w:name w:val="Default"/>
    <w:rsid w:val="0083549A"/>
    <w:pPr>
      <w:widowControl w:val="0"/>
      <w:suppressAutoHyphens/>
      <w:autoSpaceDE w:val="0"/>
    </w:pPr>
    <w:rPr>
      <w:color w:val="000000"/>
      <w:sz w:val="24"/>
      <w:szCs w:val="24"/>
    </w:rPr>
  </w:style>
  <w:style w:type="paragraph" w:styleId="a7">
    <w:name w:val="Balloon Text"/>
    <w:basedOn w:val="a"/>
    <w:rsid w:val="0083549A"/>
    <w:rPr>
      <w:rFonts w:ascii="Cambria" w:hAnsi="Cambria"/>
      <w:sz w:val="18"/>
      <w:szCs w:val="18"/>
    </w:rPr>
  </w:style>
  <w:style w:type="character" w:customStyle="1" w:styleId="a8">
    <w:name w:val="註解方塊文字 字元"/>
    <w:rsid w:val="0083549A"/>
    <w:rPr>
      <w:rFonts w:ascii="Cambria" w:eastAsia="新細明體" w:hAnsi="Cambria" w:cs="Times New Roman"/>
      <w:kern w:val="3"/>
      <w:sz w:val="18"/>
      <w:szCs w:val="18"/>
    </w:rPr>
  </w:style>
  <w:style w:type="character" w:customStyle="1" w:styleId="a9">
    <w:name w:val="清單段落 字元"/>
    <w:rsid w:val="0083549A"/>
    <w:rPr>
      <w:kern w:val="3"/>
      <w:sz w:val="24"/>
      <w:szCs w:val="24"/>
    </w:rPr>
  </w:style>
  <w:style w:type="paragraph" w:customStyle="1" w:styleId="Aa">
    <w:name w:val="內文 A"/>
    <w:rsid w:val="0083549A"/>
    <w:pPr>
      <w:widowControl w:val="0"/>
      <w:suppressAutoHyphens/>
    </w:pPr>
    <w:rPr>
      <w:color w:val="000000"/>
      <w:kern w:val="3"/>
      <w:sz w:val="24"/>
    </w:rPr>
  </w:style>
  <w:style w:type="character" w:customStyle="1" w:styleId="ab">
    <w:name w:val="頁首 字元"/>
    <w:rsid w:val="0083549A"/>
    <w:rPr>
      <w:kern w:val="3"/>
    </w:rPr>
  </w:style>
  <w:style w:type="character" w:styleId="ac">
    <w:name w:val="Hyperlink"/>
    <w:rsid w:val="0083549A"/>
    <w:rPr>
      <w:color w:val="0000FF"/>
      <w:u w:val="single"/>
    </w:rPr>
  </w:style>
  <w:style w:type="paragraph" w:styleId="Web">
    <w:name w:val="Normal (Web)"/>
    <w:basedOn w:val="a"/>
    <w:rsid w:val="0083549A"/>
    <w:pPr>
      <w:widowControl/>
      <w:suppressAutoHyphens w:val="0"/>
      <w:spacing w:before="100" w:after="100"/>
      <w:textAlignment w:val="auto"/>
    </w:pPr>
    <w:rPr>
      <w:rFonts w:ascii="新細明體" w:hAnsi="新細明體" w:cs="新細明體"/>
      <w:kern w:val="0"/>
    </w:rPr>
  </w:style>
  <w:style w:type="character" w:styleId="ad">
    <w:name w:val="Strong"/>
    <w:basedOn w:val="a0"/>
    <w:rsid w:val="0083549A"/>
    <w:rPr>
      <w:b/>
      <w:bCs/>
    </w:rPr>
  </w:style>
  <w:style w:type="paragraph" w:styleId="ae">
    <w:name w:val="Body Text"/>
    <w:basedOn w:val="a"/>
    <w:rsid w:val="0083549A"/>
    <w:pPr>
      <w:suppressAutoHyphens w:val="0"/>
      <w:autoSpaceDE w:val="0"/>
      <w:textAlignment w:val="auto"/>
    </w:pPr>
    <w:rPr>
      <w:rFonts w:ascii="標楷體" w:eastAsia="標楷體" w:hAnsi="標楷體" w:cs="標楷體"/>
      <w:kern w:val="0"/>
      <w:lang w:eastAsia="en-US"/>
    </w:rPr>
  </w:style>
  <w:style w:type="character" w:customStyle="1" w:styleId="af">
    <w:name w:val="本文 字元"/>
    <w:basedOn w:val="a0"/>
    <w:rsid w:val="0083549A"/>
    <w:rPr>
      <w:rFonts w:ascii="標楷體" w:eastAsia="標楷體" w:hAnsi="標楷體" w:cs="標楷體"/>
      <w:sz w:val="24"/>
      <w:szCs w:val="24"/>
      <w:lang w:eastAsia="en-US"/>
    </w:rPr>
  </w:style>
  <w:style w:type="paragraph" w:styleId="HTML">
    <w:name w:val="HTML Preformatted"/>
    <w:basedOn w:val="a"/>
    <w:link w:val="HTML0"/>
    <w:uiPriority w:val="99"/>
    <w:semiHidden/>
    <w:unhideWhenUsed/>
    <w:rsid w:val="00394E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rPr>
  </w:style>
  <w:style w:type="character" w:customStyle="1" w:styleId="HTML0">
    <w:name w:val="HTML 預設格式 字元"/>
    <w:basedOn w:val="a0"/>
    <w:link w:val="HTML"/>
    <w:uiPriority w:val="99"/>
    <w:semiHidden/>
    <w:rsid w:val="00394E94"/>
    <w:rPr>
      <w:rFonts w:ascii="細明體" w:eastAsia="細明體" w:hAnsi="細明體" w:cs="細明體"/>
      <w:sz w:val="24"/>
      <w:szCs w:val="24"/>
    </w:rPr>
  </w:style>
  <w:style w:type="character" w:customStyle="1" w:styleId="y2iqfc">
    <w:name w:val="y2iqfc"/>
    <w:basedOn w:val="a0"/>
    <w:rsid w:val="00394E9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url.cc/OGYMQ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eurl.cc/yYRLo6"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國內外民間團體及受邀之國際人權組織參與兩公約第三次國家報告國際審查會議注意事項</dc:title>
  <dc:creator>孫魯良</dc:creator>
  <cp:lastModifiedBy>User</cp:lastModifiedBy>
  <cp:revision>2</cp:revision>
  <cp:lastPrinted>2026-05-11T01:02:00Z</cp:lastPrinted>
  <dcterms:created xsi:type="dcterms:W3CDTF">2026-05-11T01:04:00Z</dcterms:created>
  <dcterms:modified xsi:type="dcterms:W3CDTF">2026-05-11T01:04:00Z</dcterms:modified>
</cp:coreProperties>
</file>